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D275DD2" w14:textId="77777777" w:rsidR="00CC17F1" w:rsidRDefault="00CC17F1" w:rsidP="00CC17F1">
      <w:pPr>
        <w:autoSpaceDE w:val="0"/>
        <w:autoSpaceDN w:val="0"/>
        <w:spacing w:after="0" w:line="360" w:lineRule="auto"/>
        <w:jc w:val="both"/>
        <w:rPr>
          <w:rFonts w:ascii="Georgia" w:hAnsi="Georgia" w:cs="Arial"/>
          <w:b/>
          <w:bCs/>
          <w:color w:val="E94F35"/>
          <w:sz w:val="24"/>
        </w:rPr>
      </w:pPr>
      <w:r>
        <w:rPr>
          <w:noProof/>
          <w:lang w:eastAsia="fr-FR"/>
        </w:rPr>
        <mc:AlternateContent>
          <mc:Choice Requires="wpg">
            <w:drawing>
              <wp:anchor distT="0" distB="0" distL="114300" distR="114300" simplePos="0" relativeHeight="251659264" behindDoc="0" locked="0" layoutInCell="1" allowOverlap="1" wp14:anchorId="4FED4814" wp14:editId="5CF2F5CA">
                <wp:simplePos x="0" y="0"/>
                <wp:positionH relativeFrom="column">
                  <wp:posOffset>-1233170</wp:posOffset>
                </wp:positionH>
                <wp:positionV relativeFrom="paragraph">
                  <wp:posOffset>-509270</wp:posOffset>
                </wp:positionV>
                <wp:extent cx="8186390" cy="943610"/>
                <wp:effectExtent l="0" t="0" r="24765" b="0"/>
                <wp:wrapNone/>
                <wp:docPr id="4" name="Groupe 4"/>
                <wp:cNvGraphicFramePr/>
                <a:graphic xmlns:a="http://schemas.openxmlformats.org/drawingml/2006/main">
                  <a:graphicData uri="http://schemas.microsoft.com/office/word/2010/wordprocessingGroup">
                    <wpg:wgp>
                      <wpg:cNvGrpSpPr/>
                      <wpg:grpSpPr>
                        <a:xfrm>
                          <a:off x="0" y="0"/>
                          <a:ext cx="8186390" cy="943610"/>
                          <a:chOff x="-824106" y="-17507"/>
                          <a:chExt cx="8186390" cy="722630"/>
                        </a:xfrm>
                      </wpg:grpSpPr>
                      <wps:wsp>
                        <wps:cNvPr id="3" name="Connecteur droit 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3E690F4-843A-47A5-8620-4FB01C0D8E68}"/>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824106" y="164315"/>
                            <a:ext cx="1746168"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g:grpSp>
                        <wpg:cNvPr id="2" name="Groupe 2"/>
                        <wpg:cNvGrpSpPr/>
                        <wpg:grpSpPr>
                          <a:xfrm>
                            <a:off x="922020" y="-17507"/>
                            <a:ext cx="6440264" cy="722630"/>
                            <a:chOff x="-240739" y="-17507"/>
                            <a:chExt cx="6440766" cy="722630"/>
                          </a:xfrm>
                        </wpg:grpSpPr>
                        <wps:wsp>
                          <wps:cNvPr id="5" name="Titre 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E3F5479-058B-4FA8-92E9-18CAB8CDC5C5}"/>
                              </a:ext>
                            </a:extLst>
                          </wps:cNvPr>
                          <wps:cNvSpPr txBox="1">
                            <a:spLocks/>
                          </wps:cNvSpPr>
                          <wps:spPr>
                            <a:xfrm>
                              <a:off x="-240739" y="-17507"/>
                              <a:ext cx="4518678" cy="722630"/>
                            </a:xfrm>
                            <a:prstGeom prst="rect">
                              <a:avLst/>
                            </a:prstGeom>
                          </wps:spPr>
                          <wps:txbx>
                            <w:txbxContent>
                              <w:p w14:paraId="1226E1E1" w14:textId="77777777" w:rsidR="00CC17F1" w:rsidRDefault="00CC17F1" w:rsidP="00CC17F1">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Politique de contrôle du RSA</w:t>
                                </w:r>
                              </w:p>
                            </w:txbxContent>
                          </wps:txbx>
                          <wps:bodyPr vert="horz" wrap="square" lIns="0" tIns="0" rIns="0" bIns="0" rtlCol="0" anchor="t">
                            <a:noAutofit/>
                          </wps:bodyPr>
                        </wps:wsp>
                        <wps:wsp>
                          <wps:cNvPr id="6" name="Connecteur droit 6">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0986099-F5F2-4E8B-BE17-81194861A00C}"/>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4175489" y="186939"/>
                              <a:ext cx="2024538"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FED4814" id="Groupe 4" o:spid="_x0000_s1026" style="position:absolute;left:0;text-align:left;margin-left:-97.1pt;margin-top:-40.1pt;width:644.6pt;height:74.3pt;z-index:251659264;mso-width-relative:margin;mso-height-relative:margin" coordorigin="-8241,-175" coordsize="81863,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">
                <v:line id="Connecteur droit 3" o:spid="_x0000_s1027" style="position:absolute;visibility:visible;mso-wrap-style:square" from="-8241,1643" to="9220,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TTRsMAAADaAAAADwAAAGRycy9kb3ducmV2LnhtbESPzWrDMBCE74G+g9hCLiGR60Jp3cih&#10;pBhCb0l/cl2stWVsrYylOM7bR4FAj8PMfMOsN5PtxEiDbxwreFolIIhLpxuuFfx8F8tXED4ga+wc&#10;k4ILedjkD7M1ZtqdeU/jIdQiQthnqMCE0GdS+tKQRb9yPXH0KjdYDFEOtdQDniPcdjJNkhdpseG4&#10;YLCnraGyPZysgs9L9fsm6cu2e0zlX7HgYlsdlZo/Th/vIAJN4T98b++0gme4XYk3QO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k00bDAAAA2gAAAA8AAAAAAAAAAAAA&#10;AAAAoQIAAGRycy9kb3ducmV2LnhtbFBLBQYAAAAABAAEAPkAAACRAwAAAAA=&#10;" strokecolor="#525252 [1606]" strokeweight=".5pt">
                  <v:stroke endarrow="oval" joinstyle="miter"/>
                  <o:lock v:ext="edit" shapetype="f"/>
                </v:line>
                <v:group id="Groupe 2" o:spid="_x0000_s1028" style="position:absolute;left:9220;top:-175;width:64402;height:7226" coordorigin="-2407,-175" coordsize="64407,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itre 1" o:spid="_x0000_s1029" type="#_x0000_t202" style="position:absolute;left:-2407;top:-175;width:45186;height:7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PDcIA&#10;AADaAAAADwAAAGRycy9kb3ducmV2LnhtbESPT2sCMRTE74LfIbxCb5qtoJXVKEWRFkoP/gOPj81z&#10;s3TzsiTpGr99IxR6HGbmN8xynWwrevKhcazgZVyAIK6cbrhWcDruRnMQISJrbB2TgjsFWK+GgyWW&#10;2t14T/0h1iJDOJSowMTYlVKGypDFMHYdcfauzluMWfpaao+3DLetnBTFTFpsOC8Y7GhjqPo+/FgF&#10;5023+0wXg1/9VL9vJ6/7u6+SUs9P6W0BIlKK/+G/9odWMIXH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w8NwgAAANoAAAAPAAAAAAAAAAAAAAAAAJgCAABkcnMvZG93&#10;bnJldi54bWxQSwUGAAAAAAQABAD1AAAAhwMAAAAA&#10;" filled="f" stroked="f">
                    <v:path arrowok="t"/>
                    <v:textbox inset="0,0,0,0">
                      <w:txbxContent>
                        <w:p w14:paraId="1226E1E1" w14:textId="77777777" w:rsidR="00CC17F1" w:rsidRDefault="00CC17F1" w:rsidP="00CC17F1">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Politique de contrôle du RSA</w:t>
                          </w:r>
                        </w:p>
                      </w:txbxContent>
                    </v:textbox>
                  </v:shape>
                  <v:line id="Connecteur droit 6" o:spid="_x0000_s1030" style="position:absolute;visibility:visible;mso-wrap-style:square" from="41754,1869" to="62000,1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uR+8QAAADaAAAADwAAAGRycy9kb3ducmV2LnhtbESPQWvCQBSE70L/w/IKvUjdNJS0RFdJ&#10;g1UvHkxz8PjIviah2bchu5r477uFgsdhZr5hVpvJdOJKg2stK3hZRCCIK6tbrhWUX5/P7yCcR9bY&#10;WSYFN3KwWT/MVphqO/KJroWvRYCwS1FB432fSumqhgy6he2Jg/dtB4M+yKGWesAxwE0n4yhKpMGW&#10;w0KDPeUNVT/FxSh4LcZtfNzn2dtH7Pa7kpIzzVGpp8cpW4LwNPl7+L990AoS+LsSb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65H7xAAAANoAAAAPAAAAAAAAAAAA&#10;AAAAAKECAABkcnMvZG93bnJldi54bWxQSwUGAAAAAAQABAD5AAAAkgMAAAAA&#10;" strokecolor="#525252 [1606]" strokeweight=".5pt">
                    <v:stroke startarrow="oval" joinstyle="miter"/>
                    <o:lock v:ext="edit" shapetype="f"/>
                  </v:line>
                </v:group>
              </v:group>
            </w:pict>
          </mc:Fallback>
        </mc:AlternateContent>
      </w:r>
    </w:p>
    <w:p w14:paraId="4A471AAE" w14:textId="77777777" w:rsidR="00CC17F1" w:rsidRDefault="00CC17F1" w:rsidP="00CC17F1">
      <w:pPr>
        <w:autoSpaceDE w:val="0"/>
        <w:autoSpaceDN w:val="0"/>
        <w:spacing w:after="0" w:line="360" w:lineRule="auto"/>
        <w:jc w:val="both"/>
        <w:rPr>
          <w:rFonts w:ascii="Georgia" w:hAnsi="Georgia" w:cs="Arial"/>
          <w:b/>
          <w:bCs/>
          <w:color w:val="E94F35"/>
          <w:sz w:val="24"/>
        </w:rPr>
      </w:pPr>
    </w:p>
    <w:p w14:paraId="24D75370" w14:textId="77777777" w:rsidR="00F465E8" w:rsidRPr="00F465E8" w:rsidRDefault="00F465E8" w:rsidP="00CC17F1">
      <w:pPr>
        <w:autoSpaceDE w:val="0"/>
        <w:autoSpaceDN w:val="0"/>
        <w:spacing w:after="0" w:line="360" w:lineRule="auto"/>
        <w:jc w:val="both"/>
        <w:rPr>
          <w:rFonts w:ascii="Georgia" w:hAnsi="Georgia" w:cs="Arial"/>
          <w:b/>
          <w:sz w:val="28"/>
        </w:rPr>
      </w:pPr>
      <w:r>
        <w:rPr>
          <w:rFonts w:ascii="Georgia" w:hAnsi="Georgia" w:cs="Arial"/>
          <w:b/>
          <w:sz w:val="28"/>
        </w:rPr>
        <w:t>Objectif</w:t>
      </w:r>
    </w:p>
    <w:p w14:paraId="73A8BB70" w14:textId="51F23666" w:rsidR="00CC17F1" w:rsidRDefault="00AA573A" w:rsidP="00CC17F1">
      <w:pPr>
        <w:autoSpaceDE w:val="0"/>
        <w:autoSpaceDN w:val="0"/>
        <w:spacing w:after="0" w:line="360" w:lineRule="auto"/>
        <w:jc w:val="both"/>
        <w:rPr>
          <w:rFonts w:ascii="Georgia" w:hAnsi="Georgia" w:cs="Arial"/>
          <w:sz w:val="24"/>
        </w:rPr>
      </w:pPr>
      <w:r w:rsidRPr="00AA573A">
        <w:rPr>
          <w:rFonts w:ascii="Georgia" w:hAnsi="Georgia" w:cs="Arial"/>
          <w:sz w:val="24"/>
        </w:rPr>
        <w:t>Le Revenu de solidarité active est un engagement réciproque entre le Département et l’usager.</w:t>
      </w:r>
      <w:r>
        <w:rPr>
          <w:rFonts w:ascii="Georgia" w:hAnsi="Georgia" w:cs="Arial"/>
          <w:sz w:val="24"/>
        </w:rPr>
        <w:t xml:space="preserve"> Parce qu’il est garant de cet équilibre,</w:t>
      </w:r>
      <w:r w:rsidR="00CC17F1" w:rsidRPr="00A82A19">
        <w:rPr>
          <w:rFonts w:ascii="Georgia" w:hAnsi="Georgia" w:cs="Arial"/>
          <w:sz w:val="24"/>
        </w:rPr>
        <w:t xml:space="preserve"> le Département du Val d’Oise mène une politique de contrôle des conditions d’ouverture et de maintien des droits au RSA. </w:t>
      </w:r>
    </w:p>
    <w:p w14:paraId="2B2BAA08" w14:textId="541DD63F" w:rsidR="00F465E8" w:rsidRDefault="00F465E8" w:rsidP="00F465E8">
      <w:pPr>
        <w:autoSpaceDE w:val="0"/>
        <w:autoSpaceDN w:val="0"/>
        <w:spacing w:after="0" w:line="360" w:lineRule="auto"/>
        <w:jc w:val="both"/>
        <w:rPr>
          <w:rFonts w:ascii="Georgia" w:hAnsi="Georgia" w:cs="Arial"/>
          <w:bCs/>
          <w:sz w:val="24"/>
        </w:rPr>
      </w:pPr>
      <w:r>
        <w:rPr>
          <w:rFonts w:ascii="Georgia" w:hAnsi="Georgia" w:cs="Arial"/>
          <w:sz w:val="24"/>
        </w:rPr>
        <w:t xml:space="preserve">Cela s’inscrit </w:t>
      </w:r>
      <w:r w:rsidR="00AA573A">
        <w:rPr>
          <w:rFonts w:ascii="Georgia" w:hAnsi="Georgia" w:cs="Arial"/>
          <w:sz w:val="24"/>
        </w:rPr>
        <w:t xml:space="preserve">aussi </w:t>
      </w:r>
      <w:r>
        <w:rPr>
          <w:rFonts w:ascii="Georgia" w:hAnsi="Georgia" w:cs="Arial"/>
          <w:sz w:val="24"/>
        </w:rPr>
        <w:t xml:space="preserve">dans la réalisation de notre engagement de campagne de </w:t>
      </w:r>
      <w:r w:rsidR="00764823" w:rsidRPr="00764823">
        <w:rPr>
          <w:rFonts w:ascii="Georgia" w:hAnsi="Georgia" w:cs="Arial"/>
          <w:bCs/>
          <w:sz w:val="24"/>
        </w:rPr>
        <w:t>r</w:t>
      </w:r>
      <w:r w:rsidRPr="00764823">
        <w:rPr>
          <w:rFonts w:ascii="Georgia" w:hAnsi="Georgia" w:cs="Arial"/>
          <w:bCs/>
          <w:sz w:val="24"/>
        </w:rPr>
        <w:t>enforcer les contrôles dans les attributions d'aides sociales et lutter efficacement contre la fraude</w:t>
      </w:r>
      <w:r w:rsidR="00764823" w:rsidRPr="00764823">
        <w:rPr>
          <w:rFonts w:ascii="Georgia" w:hAnsi="Georgia" w:cs="Arial"/>
          <w:bCs/>
          <w:sz w:val="24"/>
        </w:rPr>
        <w:t>.</w:t>
      </w:r>
    </w:p>
    <w:p w14:paraId="4526AF93" w14:textId="77777777" w:rsidR="00504509" w:rsidRDefault="00504509" w:rsidP="00F465E8">
      <w:pPr>
        <w:autoSpaceDE w:val="0"/>
        <w:autoSpaceDN w:val="0"/>
        <w:spacing w:after="0" w:line="360" w:lineRule="auto"/>
        <w:jc w:val="both"/>
        <w:rPr>
          <w:rFonts w:ascii="Georgia" w:hAnsi="Georgia" w:cs="Arial"/>
          <w:bCs/>
          <w:sz w:val="24"/>
        </w:rPr>
      </w:pPr>
    </w:p>
    <w:p w14:paraId="782A7CDB" w14:textId="77777777" w:rsidR="00504509" w:rsidRDefault="00504509" w:rsidP="00F465E8">
      <w:pPr>
        <w:autoSpaceDE w:val="0"/>
        <w:autoSpaceDN w:val="0"/>
        <w:spacing w:after="0" w:line="360" w:lineRule="auto"/>
        <w:jc w:val="both"/>
        <w:rPr>
          <w:rFonts w:ascii="Georgia" w:hAnsi="Georgia" w:cs="Arial"/>
          <w:bCs/>
          <w:sz w:val="24"/>
        </w:rPr>
      </w:pPr>
      <w:r w:rsidRPr="00504509">
        <w:rPr>
          <w:rFonts w:ascii="Georgia" w:hAnsi="Georgia" w:cs="Arial"/>
          <w:bCs/>
          <w:sz w:val="24"/>
        </w:rPr>
        <w:t>A cet effet, nous avons initié l’opération « Perdus de vue » dont l’objectif est de mettre en œuvre un acco</w:t>
      </w:r>
      <w:r w:rsidR="0074186E">
        <w:rPr>
          <w:rFonts w:ascii="Georgia" w:hAnsi="Georgia" w:cs="Arial"/>
          <w:bCs/>
          <w:sz w:val="24"/>
        </w:rPr>
        <w:t>mpagnement spécifique pour les b</w:t>
      </w:r>
      <w:r w:rsidRPr="00504509">
        <w:rPr>
          <w:rFonts w:ascii="Georgia" w:hAnsi="Georgia" w:cs="Arial"/>
          <w:bCs/>
          <w:sz w:val="24"/>
        </w:rPr>
        <w:t>énéficiaires du RSA qui ne disposeraient d’aucune prise en charge (Services sociaux, CCAS, Pôle emploi, organismes conventionnés dans le cadre du « Plan départemental pour l’insertion »).</w:t>
      </w:r>
    </w:p>
    <w:p w14:paraId="1104D153" w14:textId="77777777" w:rsidR="00AA573A" w:rsidRDefault="00AA573A" w:rsidP="00F465E8">
      <w:pPr>
        <w:autoSpaceDE w:val="0"/>
        <w:autoSpaceDN w:val="0"/>
        <w:spacing w:after="0" w:line="360" w:lineRule="auto"/>
        <w:jc w:val="both"/>
        <w:rPr>
          <w:rFonts w:ascii="Georgia" w:hAnsi="Georgia" w:cs="Arial"/>
          <w:bCs/>
          <w:sz w:val="24"/>
        </w:rPr>
      </w:pPr>
    </w:p>
    <w:p w14:paraId="00DF290F" w14:textId="77777777" w:rsidR="00AA573A" w:rsidRPr="00AA573A" w:rsidRDefault="00AA573A" w:rsidP="00AA573A">
      <w:pPr>
        <w:autoSpaceDE w:val="0"/>
        <w:autoSpaceDN w:val="0"/>
        <w:spacing w:after="0" w:line="360" w:lineRule="auto"/>
        <w:jc w:val="both"/>
        <w:rPr>
          <w:rFonts w:ascii="Georgia" w:hAnsi="Georgia" w:cs="Arial"/>
          <w:bCs/>
          <w:sz w:val="24"/>
        </w:rPr>
      </w:pPr>
      <w:r>
        <w:rPr>
          <w:rStyle w:val="Marquedecommentaire"/>
        </w:rPr>
        <w:commentReference w:id="1"/>
      </w:r>
      <w:r w:rsidRPr="00AA573A">
        <w:t xml:space="preserve"> </w:t>
      </w:r>
      <w:r w:rsidRPr="00AA573A">
        <w:rPr>
          <w:rFonts w:ascii="Georgia" w:hAnsi="Georgia" w:cs="Arial"/>
          <w:bCs/>
          <w:sz w:val="24"/>
        </w:rPr>
        <w:t>Cette opération est un processus qui se déroule en 3 phases :</w:t>
      </w:r>
    </w:p>
    <w:p w14:paraId="0C36D801" w14:textId="77777777" w:rsidR="00AA573A" w:rsidRPr="00AA573A" w:rsidRDefault="00AA573A" w:rsidP="00AA573A">
      <w:pPr>
        <w:autoSpaceDE w:val="0"/>
        <w:autoSpaceDN w:val="0"/>
        <w:spacing w:after="0" w:line="360" w:lineRule="auto"/>
        <w:jc w:val="both"/>
        <w:rPr>
          <w:rFonts w:ascii="Georgia" w:hAnsi="Georgia" w:cs="Arial"/>
          <w:bCs/>
          <w:sz w:val="24"/>
        </w:rPr>
      </w:pPr>
    </w:p>
    <w:p w14:paraId="2F0950A5" w14:textId="77777777" w:rsidR="00AA573A" w:rsidRPr="00AA573A" w:rsidRDefault="00AA573A" w:rsidP="00AA573A">
      <w:pPr>
        <w:autoSpaceDE w:val="0"/>
        <w:autoSpaceDN w:val="0"/>
        <w:spacing w:after="0" w:line="360" w:lineRule="auto"/>
        <w:jc w:val="both"/>
        <w:rPr>
          <w:rFonts w:ascii="Georgia" w:hAnsi="Georgia" w:cs="Arial"/>
          <w:bCs/>
          <w:sz w:val="24"/>
        </w:rPr>
      </w:pPr>
      <w:r w:rsidRPr="00AA573A">
        <w:rPr>
          <w:rFonts w:ascii="Georgia" w:hAnsi="Georgia" w:cs="Arial"/>
          <w:bCs/>
          <w:sz w:val="24"/>
        </w:rPr>
        <w:t>-</w:t>
      </w:r>
      <w:r w:rsidRPr="00AA573A">
        <w:rPr>
          <w:rFonts w:ascii="Georgia" w:hAnsi="Georgia" w:cs="Arial"/>
          <w:bCs/>
          <w:sz w:val="24"/>
        </w:rPr>
        <w:tab/>
        <w:t>Phase 1 : Convocation des Bénéficiaires du RSA qui ne seraient pas inscrit dans un parcours d’insertion pour un bilan individuel et une orientation</w:t>
      </w:r>
    </w:p>
    <w:p w14:paraId="1367845A" w14:textId="77777777" w:rsidR="00AA573A" w:rsidRPr="00AA573A" w:rsidRDefault="00AA573A" w:rsidP="00AA573A">
      <w:pPr>
        <w:autoSpaceDE w:val="0"/>
        <w:autoSpaceDN w:val="0"/>
        <w:spacing w:after="0" w:line="360" w:lineRule="auto"/>
        <w:jc w:val="both"/>
        <w:rPr>
          <w:rFonts w:ascii="Georgia" w:hAnsi="Georgia" w:cs="Arial"/>
          <w:bCs/>
          <w:sz w:val="24"/>
        </w:rPr>
      </w:pPr>
      <w:r w:rsidRPr="00AA573A">
        <w:rPr>
          <w:rFonts w:ascii="Georgia" w:hAnsi="Georgia" w:cs="Arial"/>
          <w:bCs/>
          <w:sz w:val="24"/>
        </w:rPr>
        <w:t>-</w:t>
      </w:r>
      <w:r w:rsidRPr="00AA573A">
        <w:rPr>
          <w:rFonts w:ascii="Georgia" w:hAnsi="Georgia" w:cs="Arial"/>
          <w:bCs/>
          <w:sz w:val="24"/>
        </w:rPr>
        <w:tab/>
        <w:t>Phase 2 : Accompagnement pour l’accès à la formation</w:t>
      </w:r>
    </w:p>
    <w:p w14:paraId="054D2796" w14:textId="77777777" w:rsidR="00AA573A" w:rsidRPr="00AA573A" w:rsidRDefault="00AA573A" w:rsidP="00AA573A">
      <w:pPr>
        <w:autoSpaceDE w:val="0"/>
        <w:autoSpaceDN w:val="0"/>
        <w:spacing w:after="0" w:line="360" w:lineRule="auto"/>
        <w:jc w:val="both"/>
        <w:rPr>
          <w:rFonts w:ascii="Georgia" w:hAnsi="Georgia" w:cs="Arial"/>
          <w:bCs/>
          <w:sz w:val="24"/>
        </w:rPr>
      </w:pPr>
      <w:r w:rsidRPr="00AA573A">
        <w:rPr>
          <w:rFonts w:ascii="Georgia" w:hAnsi="Georgia" w:cs="Arial"/>
          <w:bCs/>
          <w:sz w:val="24"/>
        </w:rPr>
        <w:t>-</w:t>
      </w:r>
      <w:r w:rsidRPr="00AA573A">
        <w:rPr>
          <w:rFonts w:ascii="Georgia" w:hAnsi="Georgia" w:cs="Arial"/>
          <w:bCs/>
          <w:sz w:val="24"/>
        </w:rPr>
        <w:tab/>
        <w:t>Phase 3 : Accompagnement vers l’emploi</w:t>
      </w:r>
    </w:p>
    <w:p w14:paraId="7BF447C5" w14:textId="77777777" w:rsidR="00AA573A" w:rsidRPr="00AA573A" w:rsidRDefault="00AA573A" w:rsidP="00AA573A">
      <w:pPr>
        <w:autoSpaceDE w:val="0"/>
        <w:autoSpaceDN w:val="0"/>
        <w:spacing w:after="0" w:line="360" w:lineRule="auto"/>
        <w:jc w:val="both"/>
        <w:rPr>
          <w:rFonts w:ascii="Georgia" w:hAnsi="Georgia" w:cs="Arial"/>
          <w:bCs/>
          <w:sz w:val="24"/>
        </w:rPr>
      </w:pPr>
    </w:p>
    <w:p w14:paraId="65724172" w14:textId="77777777" w:rsidR="00AA573A" w:rsidRPr="00504509" w:rsidRDefault="00AA573A" w:rsidP="00AA573A">
      <w:pPr>
        <w:autoSpaceDE w:val="0"/>
        <w:autoSpaceDN w:val="0"/>
        <w:spacing w:after="0" w:line="360" w:lineRule="auto"/>
        <w:jc w:val="both"/>
        <w:rPr>
          <w:rFonts w:ascii="Georgia" w:hAnsi="Georgia" w:cs="Arial"/>
          <w:bCs/>
          <w:sz w:val="24"/>
        </w:rPr>
      </w:pPr>
      <w:r w:rsidRPr="00AA573A">
        <w:rPr>
          <w:rFonts w:ascii="Georgia" w:hAnsi="Georgia" w:cs="Arial"/>
          <w:bCs/>
          <w:sz w:val="24"/>
        </w:rPr>
        <w:t>L’esprit du RSA sous-tend des droits et des devoirs. Ceux qui n’auraient pas répondu  reçoivent une convocation</w:t>
      </w:r>
      <w:r>
        <w:rPr>
          <w:rFonts w:ascii="Georgia" w:hAnsi="Georgia" w:cs="Arial"/>
          <w:bCs/>
          <w:sz w:val="24"/>
        </w:rPr>
        <w:t xml:space="preserve"> </w:t>
      </w:r>
      <w:r w:rsidRPr="00AA573A">
        <w:rPr>
          <w:rFonts w:ascii="Georgia" w:hAnsi="Georgia" w:cs="Arial"/>
          <w:bCs/>
          <w:sz w:val="24"/>
        </w:rPr>
        <w:t>; leur absence à celle-ci peut entrainer la suspension de leur RSA s’il est jugé que l’usager était en mesure de remplir les devoirs auxquels il a manqué.</w:t>
      </w:r>
    </w:p>
    <w:p w14:paraId="6B4591CC" w14:textId="77777777" w:rsidR="00F465E8" w:rsidRPr="00764823" w:rsidRDefault="00F465E8" w:rsidP="00CC17F1">
      <w:pPr>
        <w:autoSpaceDE w:val="0"/>
        <w:autoSpaceDN w:val="0"/>
        <w:spacing w:after="0" w:line="360" w:lineRule="auto"/>
        <w:jc w:val="both"/>
        <w:rPr>
          <w:rFonts w:ascii="Georgia" w:hAnsi="Georgia" w:cs="Arial"/>
          <w:b/>
          <w:sz w:val="24"/>
        </w:rPr>
      </w:pPr>
    </w:p>
    <w:p w14:paraId="66F721B7" w14:textId="77777777" w:rsidR="00F465E8" w:rsidRPr="00764823" w:rsidRDefault="00764823" w:rsidP="00CC17F1">
      <w:pPr>
        <w:autoSpaceDE w:val="0"/>
        <w:autoSpaceDN w:val="0"/>
        <w:spacing w:after="0" w:line="360" w:lineRule="auto"/>
        <w:jc w:val="both"/>
        <w:rPr>
          <w:rFonts w:ascii="Georgia" w:hAnsi="Georgia" w:cs="Arial"/>
          <w:b/>
          <w:sz w:val="24"/>
        </w:rPr>
      </w:pPr>
      <w:r w:rsidRPr="00764823">
        <w:rPr>
          <w:rFonts w:ascii="Georgia" w:hAnsi="Georgia" w:cs="Arial"/>
          <w:b/>
          <w:sz w:val="24"/>
        </w:rPr>
        <w:t>Chiffres-clés</w:t>
      </w:r>
    </w:p>
    <w:p w14:paraId="31D544D2" w14:textId="77777777" w:rsidR="00764823" w:rsidRPr="008011E0" w:rsidRDefault="00764823" w:rsidP="00CC17F1">
      <w:pPr>
        <w:autoSpaceDE w:val="0"/>
        <w:autoSpaceDN w:val="0"/>
        <w:spacing w:after="0" w:line="360" w:lineRule="auto"/>
        <w:jc w:val="both"/>
        <w:rPr>
          <w:rFonts w:ascii="Georgia" w:hAnsi="Georgia" w:cs="Arial"/>
          <w:sz w:val="16"/>
        </w:rPr>
      </w:pPr>
    </w:p>
    <w:p w14:paraId="5DBDEFDF" w14:textId="77777777" w:rsidR="00764823" w:rsidRDefault="005A6A96" w:rsidP="00764823">
      <w:pPr>
        <w:autoSpaceDE w:val="0"/>
        <w:autoSpaceDN w:val="0"/>
        <w:spacing w:after="0" w:line="360" w:lineRule="auto"/>
        <w:jc w:val="both"/>
        <w:rPr>
          <w:rFonts w:ascii="Georgia" w:hAnsi="Georgia" w:cs="Arial"/>
          <w:b/>
          <w:bCs/>
          <w:sz w:val="24"/>
        </w:rPr>
      </w:pPr>
      <w:r>
        <w:rPr>
          <w:rFonts w:ascii="Georgia" w:hAnsi="Georgia" w:cs="Arial"/>
          <w:sz w:val="24"/>
        </w:rPr>
        <w:t xml:space="preserve">● </w:t>
      </w:r>
      <w:r w:rsidR="00764823" w:rsidRPr="00764823">
        <w:rPr>
          <w:rFonts w:ascii="Georgia" w:hAnsi="Georgia" w:cs="Arial"/>
          <w:sz w:val="24"/>
        </w:rPr>
        <w:t xml:space="preserve">Pour rappel, le budget consacré aux allocations du Revenu de solidarité active pour le Département est de </w:t>
      </w:r>
      <w:r w:rsidR="00764823" w:rsidRPr="00764823">
        <w:rPr>
          <w:rFonts w:ascii="Georgia" w:hAnsi="Georgia" w:cs="Arial"/>
          <w:b/>
          <w:sz w:val="24"/>
        </w:rPr>
        <w:t>233 millions d’euros en 2020</w:t>
      </w:r>
      <w:r w:rsidR="00764823" w:rsidRPr="00764823">
        <w:rPr>
          <w:rFonts w:ascii="Georgia" w:hAnsi="Georgia" w:cs="Arial"/>
          <w:sz w:val="24"/>
        </w:rPr>
        <w:t xml:space="preserve"> (+10% par rapport à 2019).</w:t>
      </w:r>
      <w:r w:rsidR="00764823" w:rsidRPr="00764823">
        <w:rPr>
          <w:rFonts w:ascii="Georgia" w:hAnsi="Georgia" w:cs="Arial"/>
          <w:b/>
          <w:bCs/>
          <w:sz w:val="24"/>
        </w:rPr>
        <w:t xml:space="preserve">  </w:t>
      </w:r>
    </w:p>
    <w:p w14:paraId="5AA83812" w14:textId="77777777" w:rsidR="005A6A96" w:rsidRDefault="005A6A96" w:rsidP="00764823">
      <w:pPr>
        <w:autoSpaceDE w:val="0"/>
        <w:autoSpaceDN w:val="0"/>
        <w:spacing w:after="0" w:line="360" w:lineRule="auto"/>
        <w:jc w:val="both"/>
        <w:rPr>
          <w:rFonts w:ascii="Georgia" w:hAnsi="Georgia" w:cs="Arial"/>
          <w:b/>
          <w:bCs/>
          <w:sz w:val="24"/>
        </w:rPr>
      </w:pPr>
      <w:r>
        <w:rPr>
          <w:rFonts w:ascii="Calibri" w:hAnsi="Calibri" w:cs="Calibri"/>
          <w:b/>
          <w:bCs/>
          <w:sz w:val="24"/>
        </w:rPr>
        <w:t>→</w:t>
      </w:r>
      <w:r>
        <w:rPr>
          <w:rFonts w:ascii="Georgia" w:hAnsi="Georgia" w:cs="Arial"/>
          <w:b/>
          <w:bCs/>
          <w:sz w:val="24"/>
        </w:rPr>
        <w:t xml:space="preserve"> </w:t>
      </w:r>
      <w:r w:rsidR="008011E0">
        <w:rPr>
          <w:rFonts w:ascii="Georgia" w:hAnsi="Georgia" w:cs="Arial"/>
          <w:b/>
          <w:bCs/>
          <w:sz w:val="24"/>
        </w:rPr>
        <w:t xml:space="preserve">vote </w:t>
      </w:r>
      <w:r w:rsidR="008011E0" w:rsidRPr="008011E0">
        <w:rPr>
          <w:rFonts w:ascii="Georgia" w:hAnsi="Georgia" w:cs="Arial"/>
          <w:b/>
          <w:bCs/>
          <w:iCs/>
          <w:sz w:val="24"/>
        </w:rPr>
        <w:t>d’un</w:t>
      </w:r>
      <w:r w:rsidR="008011E0">
        <w:rPr>
          <w:rFonts w:ascii="Georgia" w:hAnsi="Georgia" w:cs="Arial"/>
          <w:b/>
          <w:bCs/>
          <w:iCs/>
          <w:sz w:val="24"/>
        </w:rPr>
        <w:t xml:space="preserve">e rallonge budgétaire de 20,7 millions d’euros </w:t>
      </w:r>
      <w:r w:rsidR="008011E0" w:rsidRPr="008011E0">
        <w:rPr>
          <w:rFonts w:ascii="Georgia" w:hAnsi="Georgia" w:cs="Arial"/>
          <w:bCs/>
          <w:iCs/>
          <w:sz w:val="24"/>
        </w:rPr>
        <w:t>en juin pour faire face à l’augmentation du nombre de bénéficiaires du RSA.</w:t>
      </w:r>
    </w:p>
    <w:p w14:paraId="027BE043" w14:textId="77777777" w:rsidR="00504509" w:rsidRPr="00764823" w:rsidRDefault="00504509" w:rsidP="00764823">
      <w:pPr>
        <w:autoSpaceDE w:val="0"/>
        <w:autoSpaceDN w:val="0"/>
        <w:spacing w:after="0" w:line="360" w:lineRule="auto"/>
        <w:jc w:val="both"/>
        <w:rPr>
          <w:rFonts w:ascii="Georgia" w:hAnsi="Georgia" w:cs="Arial"/>
          <w:b/>
          <w:bCs/>
          <w:sz w:val="24"/>
        </w:rPr>
      </w:pPr>
    </w:p>
    <w:p w14:paraId="65571605" w14:textId="77777777" w:rsidR="00504509" w:rsidRPr="00504509" w:rsidRDefault="00504509" w:rsidP="00504509">
      <w:pPr>
        <w:autoSpaceDE w:val="0"/>
        <w:autoSpaceDN w:val="0"/>
        <w:spacing w:after="0" w:line="360" w:lineRule="auto"/>
        <w:jc w:val="both"/>
        <w:rPr>
          <w:rFonts w:ascii="Georgia" w:hAnsi="Georgia" w:cs="Arial"/>
          <w:sz w:val="24"/>
        </w:rPr>
      </w:pPr>
      <w:r>
        <w:rPr>
          <w:rFonts w:ascii="Georgia" w:hAnsi="Georgia" w:cs="Arial"/>
          <w:sz w:val="24"/>
        </w:rPr>
        <w:t xml:space="preserve">● </w:t>
      </w:r>
      <w:r w:rsidRPr="00504509">
        <w:rPr>
          <w:rFonts w:ascii="Georgia" w:hAnsi="Georgia" w:cs="Arial"/>
          <w:sz w:val="24"/>
        </w:rPr>
        <w:t>Bilan de la première</w:t>
      </w:r>
      <w:r>
        <w:rPr>
          <w:rFonts w:ascii="Georgia" w:hAnsi="Georgia" w:cs="Arial"/>
          <w:sz w:val="24"/>
        </w:rPr>
        <w:t xml:space="preserve"> opération « Perdus de vue » (août 2016-fév.2017)</w:t>
      </w:r>
    </w:p>
    <w:p w14:paraId="58F4BA0C" w14:textId="77777777" w:rsidR="00504509" w:rsidRPr="00504509" w:rsidRDefault="00504509" w:rsidP="00504509">
      <w:pPr>
        <w:autoSpaceDE w:val="0"/>
        <w:autoSpaceDN w:val="0"/>
        <w:spacing w:after="0" w:line="360" w:lineRule="auto"/>
        <w:jc w:val="both"/>
        <w:rPr>
          <w:rFonts w:ascii="Georgia" w:hAnsi="Georgia" w:cs="Arial"/>
          <w:sz w:val="24"/>
        </w:rPr>
      </w:pPr>
      <w:r w:rsidRPr="00504509">
        <w:rPr>
          <w:rFonts w:ascii="Georgia" w:hAnsi="Georgia" w:cs="Arial"/>
          <w:sz w:val="24"/>
        </w:rPr>
        <w:t>-</w:t>
      </w:r>
      <w:r w:rsidRPr="00504509">
        <w:rPr>
          <w:rFonts w:ascii="Georgia" w:hAnsi="Georgia" w:cs="Arial"/>
          <w:sz w:val="24"/>
        </w:rPr>
        <w:tab/>
        <w:t>3428 Bénéficiaires du RSA convoqués</w:t>
      </w:r>
    </w:p>
    <w:p w14:paraId="3F925559" w14:textId="77777777" w:rsidR="00504509" w:rsidRPr="00504509" w:rsidRDefault="00504509" w:rsidP="00504509">
      <w:pPr>
        <w:autoSpaceDE w:val="0"/>
        <w:autoSpaceDN w:val="0"/>
        <w:spacing w:after="0" w:line="360" w:lineRule="auto"/>
        <w:jc w:val="both"/>
        <w:rPr>
          <w:rFonts w:ascii="Georgia" w:hAnsi="Georgia" w:cs="Arial"/>
          <w:sz w:val="24"/>
        </w:rPr>
      </w:pPr>
      <w:r w:rsidRPr="00504509">
        <w:rPr>
          <w:rFonts w:ascii="Georgia" w:hAnsi="Georgia" w:cs="Arial"/>
          <w:sz w:val="24"/>
        </w:rPr>
        <w:t>-</w:t>
      </w:r>
      <w:r w:rsidRPr="00504509">
        <w:rPr>
          <w:rFonts w:ascii="Georgia" w:hAnsi="Georgia" w:cs="Arial"/>
          <w:sz w:val="24"/>
        </w:rPr>
        <w:tab/>
        <w:t>2200 contrats d’engagement signés</w:t>
      </w:r>
    </w:p>
    <w:p w14:paraId="6BE0FBE4" w14:textId="77777777" w:rsidR="00764823" w:rsidRDefault="00504509" w:rsidP="00504509">
      <w:pPr>
        <w:autoSpaceDE w:val="0"/>
        <w:autoSpaceDN w:val="0"/>
        <w:spacing w:after="0" w:line="360" w:lineRule="auto"/>
        <w:jc w:val="both"/>
        <w:rPr>
          <w:rFonts w:ascii="Georgia" w:hAnsi="Georgia" w:cs="Arial"/>
          <w:sz w:val="24"/>
        </w:rPr>
      </w:pPr>
      <w:r w:rsidRPr="00504509">
        <w:rPr>
          <w:rFonts w:ascii="Georgia" w:hAnsi="Georgia" w:cs="Arial"/>
          <w:sz w:val="24"/>
        </w:rPr>
        <w:t>-</w:t>
      </w:r>
      <w:r w:rsidRPr="00504509">
        <w:rPr>
          <w:rFonts w:ascii="Georgia" w:hAnsi="Georgia" w:cs="Arial"/>
          <w:sz w:val="24"/>
        </w:rPr>
        <w:tab/>
        <w:t>572 Bénéficiaires du RSA suspendus</w:t>
      </w:r>
    </w:p>
    <w:p w14:paraId="312C3B63" w14:textId="77777777" w:rsidR="00504509" w:rsidRDefault="00504509" w:rsidP="00504509">
      <w:pPr>
        <w:autoSpaceDE w:val="0"/>
        <w:autoSpaceDN w:val="0"/>
        <w:spacing w:after="0" w:line="360" w:lineRule="auto"/>
        <w:jc w:val="both"/>
        <w:rPr>
          <w:rFonts w:ascii="Georgia" w:hAnsi="Georgia" w:cs="Arial"/>
          <w:sz w:val="24"/>
        </w:rPr>
      </w:pPr>
    </w:p>
    <w:p w14:paraId="08EF0BA0" w14:textId="77777777" w:rsidR="00504509" w:rsidRPr="00504509" w:rsidRDefault="00504509" w:rsidP="00504509">
      <w:pPr>
        <w:autoSpaceDE w:val="0"/>
        <w:autoSpaceDN w:val="0"/>
        <w:spacing w:after="0" w:line="360" w:lineRule="auto"/>
        <w:jc w:val="both"/>
        <w:rPr>
          <w:rFonts w:ascii="Georgia" w:hAnsi="Georgia" w:cs="Arial"/>
          <w:sz w:val="24"/>
        </w:rPr>
      </w:pPr>
      <w:r>
        <w:rPr>
          <w:rFonts w:ascii="Georgia" w:hAnsi="Georgia" w:cs="Arial"/>
          <w:sz w:val="24"/>
        </w:rPr>
        <w:t xml:space="preserve">● </w:t>
      </w:r>
      <w:r w:rsidRPr="00504509">
        <w:rPr>
          <w:rFonts w:ascii="Georgia" w:hAnsi="Georgia" w:cs="Arial"/>
          <w:sz w:val="24"/>
        </w:rPr>
        <w:t>Bilan (partiel) de la deuxième o</w:t>
      </w:r>
      <w:r>
        <w:rPr>
          <w:rFonts w:ascii="Georgia" w:hAnsi="Georgia" w:cs="Arial"/>
          <w:sz w:val="24"/>
        </w:rPr>
        <w:t>pération « Perdus de vue » (sept. 2017-fév. 2019)</w:t>
      </w:r>
    </w:p>
    <w:p w14:paraId="559DB79D" w14:textId="77777777" w:rsidR="00504509" w:rsidRPr="00504509" w:rsidRDefault="00504509" w:rsidP="00504509">
      <w:pPr>
        <w:autoSpaceDE w:val="0"/>
        <w:autoSpaceDN w:val="0"/>
        <w:spacing w:after="0" w:line="360" w:lineRule="auto"/>
        <w:jc w:val="both"/>
        <w:rPr>
          <w:rFonts w:ascii="Georgia" w:hAnsi="Georgia" w:cs="Arial"/>
          <w:sz w:val="24"/>
        </w:rPr>
      </w:pPr>
      <w:r w:rsidRPr="00504509">
        <w:rPr>
          <w:rFonts w:ascii="Georgia" w:hAnsi="Georgia" w:cs="Arial"/>
          <w:sz w:val="24"/>
        </w:rPr>
        <w:t>-</w:t>
      </w:r>
      <w:r w:rsidRPr="00504509">
        <w:rPr>
          <w:rFonts w:ascii="Georgia" w:hAnsi="Georgia" w:cs="Arial"/>
          <w:sz w:val="24"/>
        </w:rPr>
        <w:tab/>
        <w:t>5417 Bénéficiaires du RSA convoqués</w:t>
      </w:r>
    </w:p>
    <w:p w14:paraId="1E99EE9C" w14:textId="77777777" w:rsidR="00504509" w:rsidRPr="00504509" w:rsidRDefault="00504509" w:rsidP="00504509">
      <w:pPr>
        <w:autoSpaceDE w:val="0"/>
        <w:autoSpaceDN w:val="0"/>
        <w:spacing w:after="0" w:line="360" w:lineRule="auto"/>
        <w:jc w:val="both"/>
        <w:rPr>
          <w:rFonts w:ascii="Georgia" w:hAnsi="Georgia" w:cs="Arial"/>
          <w:sz w:val="24"/>
        </w:rPr>
      </w:pPr>
      <w:r w:rsidRPr="00504509">
        <w:rPr>
          <w:rFonts w:ascii="Georgia" w:hAnsi="Georgia" w:cs="Arial"/>
          <w:sz w:val="24"/>
        </w:rPr>
        <w:t>-</w:t>
      </w:r>
      <w:r w:rsidRPr="00504509">
        <w:rPr>
          <w:rFonts w:ascii="Georgia" w:hAnsi="Georgia" w:cs="Arial"/>
          <w:sz w:val="24"/>
        </w:rPr>
        <w:tab/>
        <w:t>2848 contrats d’engagement signés</w:t>
      </w:r>
    </w:p>
    <w:p w14:paraId="126391B8" w14:textId="77777777" w:rsidR="00504509" w:rsidRDefault="00504509" w:rsidP="00504509">
      <w:pPr>
        <w:autoSpaceDE w:val="0"/>
        <w:autoSpaceDN w:val="0"/>
        <w:spacing w:after="0" w:line="360" w:lineRule="auto"/>
        <w:jc w:val="both"/>
        <w:rPr>
          <w:rFonts w:ascii="Georgia" w:hAnsi="Georgia" w:cs="Arial"/>
          <w:sz w:val="24"/>
        </w:rPr>
      </w:pPr>
      <w:r w:rsidRPr="00504509">
        <w:rPr>
          <w:rFonts w:ascii="Georgia" w:hAnsi="Georgia" w:cs="Arial"/>
          <w:sz w:val="24"/>
        </w:rPr>
        <w:t>-</w:t>
      </w:r>
      <w:r w:rsidRPr="00504509">
        <w:rPr>
          <w:rFonts w:ascii="Georgia" w:hAnsi="Georgia" w:cs="Arial"/>
          <w:sz w:val="24"/>
        </w:rPr>
        <w:tab/>
        <w:t>802 Bénéficiaires du RSA suspendus</w:t>
      </w:r>
    </w:p>
    <w:p w14:paraId="10D9F86B" w14:textId="77777777" w:rsidR="00504509" w:rsidRDefault="00504509" w:rsidP="00CC17F1">
      <w:pPr>
        <w:autoSpaceDE w:val="0"/>
        <w:autoSpaceDN w:val="0"/>
        <w:spacing w:after="0" w:line="360" w:lineRule="auto"/>
        <w:jc w:val="both"/>
        <w:rPr>
          <w:rFonts w:ascii="Georgia" w:hAnsi="Georgia" w:cs="Arial"/>
          <w:sz w:val="24"/>
        </w:rPr>
      </w:pPr>
    </w:p>
    <w:p w14:paraId="151BD9AB" w14:textId="77777777" w:rsidR="00504509" w:rsidRDefault="00504509" w:rsidP="00CC17F1">
      <w:pPr>
        <w:autoSpaceDE w:val="0"/>
        <w:autoSpaceDN w:val="0"/>
        <w:spacing w:after="0" w:line="360" w:lineRule="auto"/>
        <w:jc w:val="both"/>
        <w:rPr>
          <w:rFonts w:ascii="Georgia" w:hAnsi="Georgia" w:cs="Arial"/>
          <w:sz w:val="24"/>
        </w:rPr>
      </w:pPr>
    </w:p>
    <w:p w14:paraId="687A42D2" w14:textId="77777777" w:rsidR="00623B9F" w:rsidRDefault="00623B9F" w:rsidP="00CC17F1">
      <w:pPr>
        <w:autoSpaceDE w:val="0"/>
        <w:autoSpaceDN w:val="0"/>
        <w:spacing w:after="0" w:line="360" w:lineRule="auto"/>
        <w:jc w:val="both"/>
        <w:rPr>
          <w:rFonts w:ascii="Georgia" w:hAnsi="Georgia" w:cs="Arial"/>
          <w:b/>
          <w:sz w:val="24"/>
        </w:rPr>
      </w:pPr>
    </w:p>
    <w:p w14:paraId="356259FE" w14:textId="77777777" w:rsidR="00623B9F" w:rsidRPr="00623B9F" w:rsidRDefault="00623B9F" w:rsidP="00CC17F1">
      <w:pPr>
        <w:autoSpaceDE w:val="0"/>
        <w:autoSpaceDN w:val="0"/>
        <w:spacing w:after="0" w:line="360" w:lineRule="auto"/>
        <w:jc w:val="both"/>
        <w:rPr>
          <w:rFonts w:ascii="Georgia" w:hAnsi="Georgia" w:cs="Arial"/>
          <w:sz w:val="24"/>
        </w:rPr>
      </w:pPr>
      <w:r>
        <w:rPr>
          <w:rFonts w:ascii="Georgia" w:hAnsi="Georgia" w:cs="Arial"/>
          <w:sz w:val="24"/>
        </w:rPr>
        <w:t xml:space="preserve">● </w:t>
      </w:r>
      <w:r w:rsidRPr="00623B9F">
        <w:rPr>
          <w:rFonts w:ascii="Georgia" w:hAnsi="Georgia" w:cs="Arial"/>
          <w:sz w:val="24"/>
        </w:rPr>
        <w:t>Dans le cadre du renforcement</w:t>
      </w:r>
      <w:r w:rsidRPr="00623B9F">
        <w:rPr>
          <w:rFonts w:ascii="Georgia" w:hAnsi="Georgia" w:cs="Arial"/>
          <w:iCs/>
          <w:sz w:val="24"/>
        </w:rPr>
        <w:t xml:space="preserve"> des moyens affectés au Plan départemental d’insertion (PDI)</w:t>
      </w:r>
      <w:r>
        <w:rPr>
          <w:rFonts w:ascii="Georgia" w:hAnsi="Georgia" w:cs="Arial"/>
          <w:iCs/>
          <w:sz w:val="24"/>
        </w:rPr>
        <w:t xml:space="preserve"> en septembre 2020</w:t>
      </w:r>
      <w:r w:rsidRPr="00623B9F">
        <w:rPr>
          <w:rFonts w:ascii="Georgia" w:hAnsi="Georgia" w:cs="Arial"/>
          <w:iCs/>
          <w:sz w:val="24"/>
        </w:rPr>
        <w:t xml:space="preserve">, </w:t>
      </w:r>
      <w:r w:rsidRPr="00623B9F">
        <w:rPr>
          <w:rFonts w:ascii="Georgia" w:hAnsi="Georgia" w:cs="Arial"/>
          <w:b/>
          <w:iCs/>
          <w:sz w:val="24"/>
        </w:rPr>
        <w:t>10 postes de travailleurs sociaux polyvalents ont été créés.</w:t>
      </w:r>
    </w:p>
    <w:p w14:paraId="192327BD" w14:textId="77777777" w:rsidR="00CC17F1" w:rsidRDefault="00623B9F" w:rsidP="00CC17F1">
      <w:pPr>
        <w:autoSpaceDE w:val="0"/>
        <w:autoSpaceDN w:val="0"/>
        <w:spacing w:after="0" w:line="360" w:lineRule="auto"/>
        <w:jc w:val="both"/>
        <w:rPr>
          <w:rFonts w:ascii="Georgia" w:hAnsi="Georgia" w:cs="Arial"/>
          <w:sz w:val="24"/>
        </w:rPr>
      </w:pPr>
      <w:r>
        <w:rPr>
          <w:rFonts w:ascii="Calibri" w:hAnsi="Calibri" w:cs="Calibri"/>
          <w:b/>
          <w:sz w:val="24"/>
        </w:rPr>
        <w:t>→</w:t>
      </w:r>
      <w:r>
        <w:rPr>
          <w:rFonts w:ascii="Georgia" w:hAnsi="Georgia" w:cs="Arial"/>
          <w:b/>
          <w:sz w:val="24"/>
        </w:rPr>
        <w:t xml:space="preserve"> </w:t>
      </w:r>
      <w:r w:rsidR="00CC17F1" w:rsidRPr="00CC17F1">
        <w:rPr>
          <w:rFonts w:ascii="Georgia" w:hAnsi="Georgia" w:cs="Arial"/>
          <w:b/>
          <w:sz w:val="24"/>
        </w:rPr>
        <w:t xml:space="preserve">L’équipe de contrôle </w:t>
      </w:r>
      <w:r>
        <w:rPr>
          <w:rFonts w:ascii="Georgia" w:hAnsi="Georgia" w:cs="Arial"/>
          <w:b/>
          <w:sz w:val="24"/>
        </w:rPr>
        <w:t xml:space="preserve">(deux postes) </w:t>
      </w:r>
      <w:r w:rsidR="00CC17F1" w:rsidRPr="00CC17F1">
        <w:rPr>
          <w:rFonts w:ascii="Georgia" w:hAnsi="Georgia" w:cs="Arial"/>
          <w:b/>
          <w:sz w:val="24"/>
        </w:rPr>
        <w:t>sera renforcée par 3 agents</w:t>
      </w:r>
      <w:r w:rsidR="00CC17F1" w:rsidRPr="00A82A19">
        <w:rPr>
          <w:rFonts w:ascii="Georgia" w:hAnsi="Georgia" w:cs="Arial"/>
          <w:sz w:val="24"/>
        </w:rPr>
        <w:t xml:space="preserve"> (dont deux apprentis, dans le cadre du plan de relance en faveur des jeunes Valdoisiens) pour accompagner les perspectives d’augmentation des bénéficiaires dès cette année. </w:t>
      </w:r>
    </w:p>
    <w:p w14:paraId="74B8358E" w14:textId="77777777" w:rsidR="00CC17F1" w:rsidRDefault="00AF7B7B" w:rsidP="00CC17F1">
      <w:pPr>
        <w:autoSpaceDE w:val="0"/>
        <w:autoSpaceDN w:val="0"/>
        <w:spacing w:after="0" w:line="360" w:lineRule="auto"/>
        <w:jc w:val="both"/>
        <w:rPr>
          <w:rFonts w:ascii="Georgia" w:hAnsi="Georgia" w:cs="Arial"/>
          <w:sz w:val="24"/>
        </w:rPr>
      </w:pPr>
      <w:r>
        <w:rPr>
          <w:rFonts w:ascii="Calibri" w:hAnsi="Calibri" w:cs="Calibri"/>
          <w:iCs/>
          <w:sz w:val="24"/>
        </w:rPr>
        <w:t>→</w:t>
      </w:r>
      <w:r>
        <w:rPr>
          <w:rFonts w:ascii="Georgia" w:hAnsi="Georgia" w:cs="Arial"/>
          <w:iCs/>
          <w:sz w:val="24"/>
        </w:rPr>
        <w:t xml:space="preserve"> Coût total : </w:t>
      </w:r>
      <w:r w:rsidRPr="00AF7B7B">
        <w:rPr>
          <w:rFonts w:ascii="Georgia" w:hAnsi="Georgia" w:cs="Arial"/>
          <w:iCs/>
          <w:sz w:val="24"/>
        </w:rPr>
        <w:t>510 550 €</w:t>
      </w:r>
    </w:p>
    <w:p w14:paraId="59EB75C1" w14:textId="77777777" w:rsidR="00AF7B7B" w:rsidRDefault="00AF7B7B" w:rsidP="00CC17F1">
      <w:pPr>
        <w:autoSpaceDE w:val="0"/>
        <w:autoSpaceDN w:val="0"/>
        <w:spacing w:after="0" w:line="360" w:lineRule="auto"/>
        <w:jc w:val="both"/>
        <w:rPr>
          <w:rFonts w:ascii="Georgia" w:hAnsi="Georgia" w:cs="Arial"/>
          <w:sz w:val="24"/>
        </w:rPr>
      </w:pPr>
    </w:p>
    <w:p w14:paraId="39115FFB" w14:textId="77777777" w:rsidR="00623B9F" w:rsidRPr="00623B9F" w:rsidRDefault="00623B9F" w:rsidP="00623B9F">
      <w:pPr>
        <w:autoSpaceDE w:val="0"/>
        <w:autoSpaceDN w:val="0"/>
        <w:spacing w:after="0" w:line="360" w:lineRule="auto"/>
        <w:jc w:val="both"/>
        <w:rPr>
          <w:rFonts w:ascii="Georgia" w:hAnsi="Georgia" w:cs="Arial"/>
          <w:iCs/>
          <w:sz w:val="24"/>
        </w:rPr>
      </w:pPr>
      <w:r w:rsidRPr="00623B9F">
        <w:rPr>
          <w:rFonts w:ascii="Times New Roman" w:hAnsi="Times New Roman" w:cs="Times New Roman"/>
          <w:iCs/>
          <w:sz w:val="24"/>
        </w:rPr>
        <w:t>→</w:t>
      </w:r>
      <w:r w:rsidRPr="00623B9F">
        <w:rPr>
          <w:rFonts w:ascii="Georgia" w:hAnsi="Georgia" w:cs="Arial"/>
          <w:iCs/>
          <w:sz w:val="24"/>
        </w:rPr>
        <w:t xml:space="preserve"> Les contr</w:t>
      </w:r>
      <w:r w:rsidRPr="00623B9F">
        <w:rPr>
          <w:rFonts w:ascii="Georgia" w:hAnsi="Georgia" w:cs="Georgia"/>
          <w:iCs/>
          <w:sz w:val="24"/>
        </w:rPr>
        <w:t>ô</w:t>
      </w:r>
      <w:r w:rsidRPr="00623B9F">
        <w:rPr>
          <w:rFonts w:ascii="Georgia" w:hAnsi="Georgia" w:cs="Arial"/>
          <w:iCs/>
          <w:sz w:val="24"/>
        </w:rPr>
        <w:t>les op</w:t>
      </w:r>
      <w:r w:rsidRPr="00623B9F">
        <w:rPr>
          <w:rFonts w:ascii="Georgia" w:hAnsi="Georgia" w:cs="Georgia"/>
          <w:iCs/>
          <w:sz w:val="24"/>
        </w:rPr>
        <w:t>é</w:t>
      </w:r>
      <w:r w:rsidRPr="00623B9F">
        <w:rPr>
          <w:rFonts w:ascii="Georgia" w:hAnsi="Georgia" w:cs="Arial"/>
          <w:iCs/>
          <w:sz w:val="24"/>
        </w:rPr>
        <w:t>r</w:t>
      </w:r>
      <w:r w:rsidRPr="00623B9F">
        <w:rPr>
          <w:rFonts w:ascii="Georgia" w:hAnsi="Georgia" w:cs="Georgia"/>
          <w:iCs/>
          <w:sz w:val="24"/>
        </w:rPr>
        <w:t>é</w:t>
      </w:r>
      <w:r w:rsidRPr="00623B9F">
        <w:rPr>
          <w:rFonts w:ascii="Georgia" w:hAnsi="Georgia" w:cs="Arial"/>
          <w:iCs/>
          <w:sz w:val="24"/>
        </w:rPr>
        <w:t>s ont permis d</w:t>
      </w:r>
      <w:r w:rsidRPr="00623B9F">
        <w:rPr>
          <w:rFonts w:ascii="Georgia" w:hAnsi="Georgia" w:cs="Georgia"/>
          <w:iCs/>
          <w:sz w:val="24"/>
        </w:rPr>
        <w:t>’é</w:t>
      </w:r>
      <w:r w:rsidRPr="00623B9F">
        <w:rPr>
          <w:rFonts w:ascii="Georgia" w:hAnsi="Georgia" w:cs="Arial"/>
          <w:iCs/>
          <w:sz w:val="24"/>
        </w:rPr>
        <w:t>conomiser 615</w:t>
      </w:r>
      <w:r w:rsidRPr="00623B9F">
        <w:rPr>
          <w:rFonts w:ascii="Georgia" w:hAnsi="Georgia" w:cs="Georgia"/>
          <w:iCs/>
          <w:sz w:val="24"/>
        </w:rPr>
        <w:t> </w:t>
      </w:r>
      <w:r w:rsidRPr="00623B9F">
        <w:rPr>
          <w:rFonts w:ascii="Georgia" w:hAnsi="Georgia" w:cs="Arial"/>
          <w:iCs/>
          <w:sz w:val="24"/>
        </w:rPr>
        <w:t xml:space="preserve">869 </w:t>
      </w:r>
      <w:r w:rsidRPr="00623B9F">
        <w:rPr>
          <w:rFonts w:ascii="Georgia" w:hAnsi="Georgia" w:cs="Georgia"/>
          <w:iCs/>
          <w:sz w:val="24"/>
        </w:rPr>
        <w:t>€</w:t>
      </w:r>
      <w:r w:rsidRPr="00623B9F">
        <w:rPr>
          <w:rFonts w:ascii="Georgia" w:hAnsi="Georgia" w:cs="Arial"/>
          <w:iCs/>
          <w:sz w:val="24"/>
        </w:rPr>
        <w:t xml:space="preserve"> en 2018 (pour 440 contrôles) et 742 175 € en 2019 (pour 405 contrôles) </w:t>
      </w:r>
    </w:p>
    <w:p w14:paraId="6A9BE51E" w14:textId="77777777" w:rsidR="00CC17F1" w:rsidRDefault="00CC17F1" w:rsidP="00CC17F1">
      <w:pPr>
        <w:autoSpaceDE w:val="0"/>
        <w:autoSpaceDN w:val="0"/>
        <w:spacing w:after="0" w:line="360" w:lineRule="auto"/>
        <w:jc w:val="both"/>
        <w:rPr>
          <w:rFonts w:ascii="Georgia" w:hAnsi="Georgia" w:cs="Arial"/>
          <w:sz w:val="24"/>
        </w:rPr>
      </w:pPr>
    </w:p>
    <w:p w14:paraId="79B18DEE" w14:textId="77777777" w:rsidR="00CC17F1" w:rsidRDefault="0051255D" w:rsidP="00CC17F1">
      <w:pPr>
        <w:spacing w:after="0" w:line="360" w:lineRule="auto"/>
        <w:jc w:val="both"/>
        <w:rPr>
          <w:rFonts w:ascii="Georgia" w:hAnsi="Georgia"/>
          <w:b/>
          <w:sz w:val="28"/>
          <w:szCs w:val="24"/>
        </w:rPr>
      </w:pPr>
      <w:r w:rsidRPr="0051255D">
        <w:rPr>
          <w:rFonts w:ascii="Georgia" w:hAnsi="Georgia"/>
          <w:b/>
          <w:sz w:val="28"/>
          <w:szCs w:val="24"/>
        </w:rPr>
        <w:t>Arguments</w:t>
      </w:r>
    </w:p>
    <w:p w14:paraId="2B9EE217" w14:textId="77777777" w:rsidR="0051255D" w:rsidRPr="0051255D" w:rsidRDefault="0051255D" w:rsidP="00CC17F1">
      <w:pPr>
        <w:spacing w:after="0" w:line="360" w:lineRule="auto"/>
        <w:jc w:val="both"/>
        <w:rPr>
          <w:rFonts w:ascii="Georgia" w:hAnsi="Georgia"/>
          <w:b/>
          <w:sz w:val="28"/>
          <w:szCs w:val="24"/>
        </w:rPr>
      </w:pPr>
    </w:p>
    <w:p w14:paraId="05BEDF64" w14:textId="2D6AB0D2" w:rsidR="0051255D" w:rsidRDefault="0051255D" w:rsidP="00CC17F1">
      <w:pPr>
        <w:spacing w:after="0" w:line="360" w:lineRule="auto"/>
        <w:jc w:val="both"/>
        <w:rPr>
          <w:rFonts w:ascii="Georgia" w:hAnsi="Georgia" w:cs="Arial"/>
          <w:iCs/>
          <w:sz w:val="24"/>
        </w:rPr>
      </w:pPr>
      <w:r>
        <w:rPr>
          <w:rFonts w:ascii="Georgia" w:hAnsi="Georgia" w:cs="Arial"/>
          <w:iCs/>
          <w:sz w:val="24"/>
        </w:rPr>
        <w:t xml:space="preserve">● </w:t>
      </w:r>
      <w:r w:rsidRPr="0051255D">
        <w:rPr>
          <w:rFonts w:ascii="Georgia" w:hAnsi="Georgia" w:cs="Arial"/>
          <w:iCs/>
          <w:sz w:val="24"/>
        </w:rPr>
        <w:t xml:space="preserve">Le Revenu de solidarité active est une aide qui participe à la cohésion sociale, en même temps il doit être justement attribué. </w:t>
      </w:r>
    </w:p>
    <w:p w14:paraId="068CBD73" w14:textId="77777777" w:rsidR="0051255D" w:rsidRDefault="0051255D" w:rsidP="00CC17F1">
      <w:pPr>
        <w:spacing w:after="0" w:line="360" w:lineRule="auto"/>
        <w:jc w:val="both"/>
        <w:rPr>
          <w:rFonts w:ascii="Georgia" w:hAnsi="Georgia" w:cs="Arial"/>
          <w:iCs/>
          <w:sz w:val="24"/>
        </w:rPr>
      </w:pPr>
      <w:r>
        <w:rPr>
          <w:rFonts w:ascii="Calibri" w:hAnsi="Calibri" w:cs="Calibri"/>
          <w:iCs/>
          <w:sz w:val="24"/>
        </w:rPr>
        <w:t xml:space="preserve">● </w:t>
      </w:r>
      <w:r w:rsidRPr="0051255D">
        <w:rPr>
          <w:rFonts w:ascii="Georgia" w:hAnsi="Georgia" w:cs="Arial"/>
          <w:iCs/>
          <w:sz w:val="24"/>
        </w:rPr>
        <w:t xml:space="preserve">Avec la crise de la Covid-19, le nombre de bénéficiaires du RSA est en </w:t>
      </w:r>
      <w:r>
        <w:rPr>
          <w:rFonts w:ascii="Georgia" w:hAnsi="Georgia" w:cs="Arial"/>
          <w:iCs/>
          <w:sz w:val="24"/>
        </w:rPr>
        <w:t xml:space="preserve">forte </w:t>
      </w:r>
      <w:r w:rsidRPr="0051255D">
        <w:rPr>
          <w:rFonts w:ascii="Georgia" w:hAnsi="Georgia" w:cs="Arial"/>
          <w:iCs/>
          <w:sz w:val="24"/>
        </w:rPr>
        <w:t>augmentation ainsi que les dépenses d’allocations correspondantes.</w:t>
      </w:r>
    </w:p>
    <w:p w14:paraId="604C8824" w14:textId="77777777" w:rsidR="0051255D" w:rsidRPr="0051255D" w:rsidRDefault="0051255D" w:rsidP="00CC17F1">
      <w:pPr>
        <w:spacing w:after="0" w:line="360" w:lineRule="auto"/>
        <w:jc w:val="both"/>
        <w:rPr>
          <w:rFonts w:ascii="Georgia" w:hAnsi="Georgia" w:cs="Arial"/>
          <w:iCs/>
          <w:sz w:val="24"/>
        </w:rPr>
      </w:pPr>
    </w:p>
    <w:p w14:paraId="730FC316" w14:textId="710E3CD8" w:rsidR="0051255D" w:rsidRDefault="0051255D" w:rsidP="0051255D">
      <w:pPr>
        <w:spacing w:after="0" w:line="360" w:lineRule="auto"/>
        <w:jc w:val="both"/>
        <w:rPr>
          <w:rFonts w:ascii="Georgia" w:hAnsi="Georgia" w:cs="Arial"/>
          <w:iCs/>
          <w:sz w:val="24"/>
        </w:rPr>
      </w:pPr>
      <w:r>
        <w:rPr>
          <w:rFonts w:ascii="Calibri" w:hAnsi="Calibri" w:cs="Calibri"/>
          <w:iCs/>
          <w:sz w:val="24"/>
        </w:rPr>
        <w:lastRenderedPageBreak/>
        <w:t>→</w:t>
      </w:r>
      <w:r>
        <w:rPr>
          <w:rFonts w:ascii="Georgia" w:hAnsi="Georgia" w:cs="Arial"/>
          <w:iCs/>
          <w:sz w:val="24"/>
        </w:rPr>
        <w:t xml:space="preserve"> </w:t>
      </w:r>
      <w:r w:rsidRPr="0051255D">
        <w:rPr>
          <w:rFonts w:ascii="Georgia" w:hAnsi="Georgia" w:cs="Arial"/>
          <w:iCs/>
          <w:sz w:val="24"/>
        </w:rPr>
        <w:t xml:space="preserve">Pour affronter les conséquences sociales de la crise, il convient dès à présent </w:t>
      </w:r>
      <w:r w:rsidR="00AA573A">
        <w:rPr>
          <w:rFonts w:ascii="Georgia" w:hAnsi="Georgia" w:cs="Arial"/>
          <w:iCs/>
          <w:sz w:val="24"/>
        </w:rPr>
        <w:t xml:space="preserve">de prendre </w:t>
      </w:r>
      <w:r w:rsidRPr="0051255D">
        <w:rPr>
          <w:rFonts w:ascii="Georgia" w:hAnsi="Georgia" w:cs="Arial"/>
          <w:iCs/>
          <w:sz w:val="24"/>
        </w:rPr>
        <w:t>des mesures destinées à favoriser l’accès à l’emploi des nouveaux entrants dans le RSA et éviter leur installation durable dans le dispositif.</w:t>
      </w:r>
    </w:p>
    <w:p w14:paraId="3EBC266B" w14:textId="77777777" w:rsidR="0051255D" w:rsidRDefault="0051255D" w:rsidP="0051255D">
      <w:pPr>
        <w:spacing w:after="0" w:line="360" w:lineRule="auto"/>
        <w:jc w:val="both"/>
        <w:rPr>
          <w:rFonts w:ascii="Georgia" w:hAnsi="Georgia" w:cs="Arial"/>
          <w:iCs/>
          <w:sz w:val="24"/>
        </w:rPr>
      </w:pPr>
    </w:p>
    <w:p w14:paraId="531AA16D" w14:textId="7A0B7811" w:rsidR="0051255D" w:rsidRDefault="0051255D" w:rsidP="0051255D">
      <w:pPr>
        <w:spacing w:after="0" w:line="360" w:lineRule="auto"/>
        <w:jc w:val="both"/>
        <w:rPr>
          <w:rFonts w:ascii="Georgia" w:hAnsi="Georgia" w:cs="Arial"/>
          <w:iCs/>
          <w:sz w:val="24"/>
        </w:rPr>
      </w:pPr>
      <w:r>
        <w:rPr>
          <w:rFonts w:ascii="Georgia" w:hAnsi="Georgia" w:cs="Arial"/>
          <w:iCs/>
          <w:sz w:val="24"/>
        </w:rPr>
        <w:t xml:space="preserve">● Avec démagogie, </w:t>
      </w:r>
      <w:r w:rsidR="00AA573A">
        <w:rPr>
          <w:rFonts w:ascii="Georgia" w:hAnsi="Georgia" w:cs="Arial"/>
          <w:iCs/>
          <w:sz w:val="24"/>
        </w:rPr>
        <w:t>l</w:t>
      </w:r>
      <w:r w:rsidRPr="0051255D">
        <w:rPr>
          <w:rFonts w:ascii="Georgia" w:hAnsi="Georgia" w:cs="Arial"/>
          <w:iCs/>
          <w:sz w:val="24"/>
        </w:rPr>
        <w:t xml:space="preserve">’opposition nous accuse à tort de faire, selon leurs termes, une « chasse aux </w:t>
      </w:r>
      <w:r w:rsidR="00AA573A">
        <w:rPr>
          <w:rFonts w:ascii="Georgia" w:hAnsi="Georgia" w:cs="Arial"/>
          <w:iCs/>
          <w:sz w:val="24"/>
        </w:rPr>
        <w:t>pauvres</w:t>
      </w:r>
      <w:r w:rsidR="00AA573A" w:rsidRPr="0051255D">
        <w:rPr>
          <w:rFonts w:ascii="Georgia" w:hAnsi="Georgia" w:cs="Arial"/>
          <w:iCs/>
          <w:sz w:val="24"/>
        </w:rPr>
        <w:t> </w:t>
      </w:r>
      <w:r w:rsidRPr="0051255D">
        <w:rPr>
          <w:rFonts w:ascii="Georgia" w:hAnsi="Georgia" w:cs="Arial"/>
          <w:iCs/>
          <w:sz w:val="24"/>
        </w:rPr>
        <w:t xml:space="preserve">» </w:t>
      </w:r>
      <w:r>
        <w:rPr>
          <w:rFonts w:ascii="Georgia" w:hAnsi="Georgia" w:cs="Arial"/>
          <w:iCs/>
          <w:sz w:val="24"/>
        </w:rPr>
        <w:t>et que la création de nouveaux postes de contrôleurs est une « provocation »</w:t>
      </w:r>
      <w:r w:rsidRPr="0051255D">
        <w:rPr>
          <w:rFonts w:ascii="Georgia" w:hAnsi="Georgia" w:cs="Arial"/>
          <w:iCs/>
          <w:sz w:val="24"/>
        </w:rPr>
        <w:t xml:space="preserve">. </w:t>
      </w:r>
    </w:p>
    <w:p w14:paraId="3FAFA22C" w14:textId="77777777" w:rsidR="00CE08C0" w:rsidRPr="0051255D" w:rsidRDefault="0051255D" w:rsidP="0051255D">
      <w:pPr>
        <w:spacing w:after="0" w:line="360" w:lineRule="auto"/>
        <w:jc w:val="both"/>
        <w:rPr>
          <w:rFonts w:ascii="Georgia" w:hAnsi="Georgia" w:cs="Arial"/>
          <w:iCs/>
          <w:sz w:val="24"/>
        </w:rPr>
      </w:pPr>
      <w:r w:rsidRPr="0051255D">
        <w:rPr>
          <w:rFonts w:ascii="Georgia" w:hAnsi="Georgia" w:cs="Arial"/>
          <w:iCs/>
          <w:sz w:val="24"/>
        </w:rPr>
        <w:t>Evidemment, nos travailleurs sociaux renforcés en nombre pour être encore plus réactifs font bien la distinction entre la fraude caractérisée, la tricherie qu’il faut sanctionner et les problèmes de mobilisation vers l’insertion. Ils insistent sur un meilleur accès aux droits. Si ses élus n’étaient pas totalement absents en Commission des Affaires sociales depuis février 2018, elle en aurait été informée et ne se serait peut-être pas abstenue sur un vote important face à l’urgence sociale</w:t>
      </w:r>
      <w:r w:rsidR="002E36A9">
        <w:rPr>
          <w:rFonts w:ascii="Georgia" w:hAnsi="Georgia" w:cs="Arial"/>
          <w:iCs/>
          <w:sz w:val="24"/>
        </w:rPr>
        <w:t>.</w:t>
      </w:r>
      <w:r w:rsidRPr="0051255D">
        <w:rPr>
          <w:rFonts w:ascii="Georgia" w:hAnsi="Georgia" w:cs="Arial"/>
          <w:iCs/>
          <w:sz w:val="24"/>
        </w:rPr>
        <w:t> </w:t>
      </w:r>
    </w:p>
    <w:sectPr w:rsidR="00CE08C0" w:rsidRPr="0051255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EPHANT FAILLEAU SOLENNE" w:date="2020-11-06T18:35:00Z" w:initials="SFS">
    <w:p w14:paraId="1EB948F9" w14:textId="77777777" w:rsidR="00AA573A" w:rsidRDefault="00AA573A">
      <w:pPr>
        <w:pStyle w:val="Commentaire"/>
      </w:pPr>
      <w:r>
        <w:rPr>
          <w:rStyle w:val="Marquedecommentaire"/>
        </w:rPr>
        <w:annotationRef/>
      </w:r>
    </w:p>
    <w:p w14:paraId="453138BF" w14:textId="77777777" w:rsidR="00AA573A" w:rsidRDefault="00A03406">
      <w:pPr>
        <w:pStyle w:val="Commentaire"/>
      </w:pPr>
      <w:r>
        <w:rPr>
          <w:rFonts w:ascii="Georgia" w:hAnsi="Georgia" w:cs="Arial"/>
          <w:bCs/>
          <w:sz w:val="24"/>
        </w:rPr>
        <w:pict w14:anchorId="12393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6pt" strokeweight="0">
            <v:stroke endcap="round"/>
            <v:imagedata r:id="rId1" o:title=""/>
            <v:path shadowok="f" fillok="f" insetpenok="f"/>
            <o:lock v:ext="edit" rotation="t" verticies="t" text="t" shapetype="t"/>
            <o:ink i="AAB=&#10;" annotation="t"/>
          </v:shape>
        </w:pic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3138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00ADD" w14:textId="77777777" w:rsidR="0042501B" w:rsidRDefault="0074186E">
      <w:pPr>
        <w:spacing w:after="0" w:line="240" w:lineRule="auto"/>
      </w:pPr>
      <w:r>
        <w:separator/>
      </w:r>
    </w:p>
  </w:endnote>
  <w:endnote w:type="continuationSeparator" w:id="0">
    <w:p w14:paraId="2A8D45AC" w14:textId="77777777" w:rsidR="0042501B" w:rsidRDefault="0074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C61F1" w14:textId="77777777" w:rsidR="0042501B" w:rsidRDefault="0074186E">
      <w:pPr>
        <w:spacing w:after="0" w:line="240" w:lineRule="auto"/>
      </w:pPr>
      <w:r>
        <w:separator/>
      </w:r>
    </w:p>
  </w:footnote>
  <w:footnote w:type="continuationSeparator" w:id="0">
    <w:p w14:paraId="6FE5D644" w14:textId="77777777" w:rsidR="0042501B" w:rsidRDefault="0074186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T FAILLEAU SOLENNE">
    <w15:presenceInfo w15:providerId="AD" w15:userId="S-1-5-21-129852933-978402903-312552118-30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F1"/>
    <w:rsid w:val="002E36A9"/>
    <w:rsid w:val="0042501B"/>
    <w:rsid w:val="00504509"/>
    <w:rsid w:val="0051255D"/>
    <w:rsid w:val="005A6A96"/>
    <w:rsid w:val="00623B9F"/>
    <w:rsid w:val="00717A6E"/>
    <w:rsid w:val="0074186E"/>
    <w:rsid w:val="00764823"/>
    <w:rsid w:val="008011E0"/>
    <w:rsid w:val="00A03406"/>
    <w:rsid w:val="00AA573A"/>
    <w:rsid w:val="00AF7B7B"/>
    <w:rsid w:val="00CC17F1"/>
    <w:rsid w:val="00CE08C0"/>
    <w:rsid w:val="00F465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D84672"/>
  <w15:chartTrackingRefBased/>
  <w15:docId w15:val="{068CB169-B297-4A7C-B404-9C7CB14E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7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C17F1"/>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Rvision">
    <w:name w:val="Revision"/>
    <w:hidden/>
    <w:uiPriority w:val="99"/>
    <w:semiHidden/>
    <w:rsid w:val="00AA573A"/>
    <w:pPr>
      <w:spacing w:after="0" w:line="240" w:lineRule="auto"/>
    </w:pPr>
  </w:style>
  <w:style w:type="character" w:styleId="Marquedecommentaire">
    <w:name w:val="annotation reference"/>
    <w:basedOn w:val="Policepardfaut"/>
    <w:uiPriority w:val="99"/>
    <w:semiHidden/>
    <w:unhideWhenUsed/>
    <w:rsid w:val="00AA573A"/>
    <w:rPr>
      <w:sz w:val="16"/>
      <w:szCs w:val="16"/>
    </w:rPr>
  </w:style>
  <w:style w:type="paragraph" w:styleId="Commentaire">
    <w:name w:val="annotation text"/>
    <w:basedOn w:val="Normal"/>
    <w:link w:val="CommentaireCar"/>
    <w:uiPriority w:val="99"/>
    <w:semiHidden/>
    <w:unhideWhenUsed/>
    <w:rsid w:val="00AA573A"/>
    <w:pPr>
      <w:spacing w:line="240" w:lineRule="auto"/>
    </w:pPr>
    <w:rPr>
      <w:sz w:val="20"/>
      <w:szCs w:val="20"/>
    </w:rPr>
  </w:style>
  <w:style w:type="character" w:customStyle="1" w:styleId="CommentaireCar">
    <w:name w:val="Commentaire Car"/>
    <w:basedOn w:val="Policepardfaut"/>
    <w:link w:val="Commentaire"/>
    <w:uiPriority w:val="99"/>
    <w:semiHidden/>
    <w:rsid w:val="00AA573A"/>
    <w:rPr>
      <w:sz w:val="20"/>
      <w:szCs w:val="20"/>
    </w:rPr>
  </w:style>
  <w:style w:type="paragraph" w:styleId="Objetducommentaire">
    <w:name w:val="annotation subject"/>
    <w:basedOn w:val="Commentaire"/>
    <w:next w:val="Commentaire"/>
    <w:link w:val="ObjetducommentaireCar"/>
    <w:uiPriority w:val="99"/>
    <w:semiHidden/>
    <w:unhideWhenUsed/>
    <w:rsid w:val="00AA573A"/>
    <w:rPr>
      <w:b/>
      <w:bCs/>
    </w:rPr>
  </w:style>
  <w:style w:type="character" w:customStyle="1" w:styleId="ObjetducommentaireCar">
    <w:name w:val="Objet du commentaire Car"/>
    <w:basedOn w:val="CommentaireCar"/>
    <w:link w:val="Objetducommentaire"/>
    <w:uiPriority w:val="99"/>
    <w:semiHidden/>
    <w:rsid w:val="00AA573A"/>
    <w:rPr>
      <w:b/>
      <w:bCs/>
      <w:sz w:val="20"/>
      <w:szCs w:val="20"/>
    </w:rPr>
  </w:style>
  <w:style w:type="paragraph" w:styleId="Textedebulles">
    <w:name w:val="Balloon Text"/>
    <w:basedOn w:val="Normal"/>
    <w:link w:val="TextedebullesCar"/>
    <w:uiPriority w:val="99"/>
    <w:semiHidden/>
    <w:unhideWhenUsed/>
    <w:rsid w:val="00AA57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5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19135">
      <w:bodyDiv w:val="1"/>
      <w:marLeft w:val="0"/>
      <w:marRight w:val="0"/>
      <w:marTop w:val="0"/>
      <w:marBottom w:val="0"/>
      <w:divBdr>
        <w:top w:val="none" w:sz="0" w:space="0" w:color="auto"/>
        <w:left w:val="none" w:sz="0" w:space="0" w:color="auto"/>
        <w:bottom w:val="none" w:sz="0" w:space="0" w:color="auto"/>
        <w:right w:val="none" w:sz="0" w:space="0" w:color="auto"/>
      </w:divBdr>
      <w:divsChild>
        <w:div w:id="462119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589</Words>
  <Characters>3242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MAILLARD VINCENT</cp:lastModifiedBy>
  <cp:revision>10</cp:revision>
  <dcterms:created xsi:type="dcterms:W3CDTF">2020-10-21T10:11:00Z</dcterms:created>
  <dcterms:modified xsi:type="dcterms:W3CDTF">2021-04-13T13:37:00Z</dcterms:modified>
</cp:coreProperties>
</file>