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785" w:rsidRPr="00C520FE" w:rsidRDefault="008F5F88" w:rsidP="009445CE">
      <w:pPr>
        <w:ind w:left="705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AIDES AUX COMMUNES</w:t>
      </w:r>
      <w:r>
        <w:rPr>
          <w:b/>
          <w:color w:val="FFFFFF" w:themeColor="background1"/>
          <w:sz w:val="36"/>
          <w:szCs w:val="36"/>
        </w:rPr>
        <w:tab/>
        <w:t>ACTUALISATION 2019</w:t>
      </w:r>
      <w:r w:rsidR="009445CE">
        <w:rPr>
          <w:b/>
          <w:color w:val="FFFFFF" w:themeColor="background1"/>
          <w:sz w:val="36"/>
          <w:szCs w:val="36"/>
        </w:rPr>
        <w:br/>
        <w:t xml:space="preserve">Rapport n° </w:t>
      </w:r>
      <w:r>
        <w:rPr>
          <w:b/>
          <w:color w:val="FFFFFF" w:themeColor="background1"/>
          <w:sz w:val="36"/>
          <w:szCs w:val="36"/>
        </w:rPr>
        <w:t>2-22 / AD du 29/03/19</w:t>
      </w:r>
    </w:p>
    <w:p w:rsidR="00C520FE" w:rsidRDefault="00B50E50" w:rsidP="00D44785">
      <w:bookmarkStart w:id="0" w:name="_GoBack"/>
      <w:bookmarkEnd w:id="0"/>
      <w:r w:rsidRPr="00B01B56">
        <w:rPr>
          <w:noProof/>
          <w:color w:val="FF6600"/>
          <w:lang w:eastAsia="fr-FR"/>
        </w:rPr>
        <w:drawing>
          <wp:anchor distT="0" distB="0" distL="114300" distR="114300" simplePos="0" relativeHeight="251664384" behindDoc="0" locked="0" layoutInCell="1" allowOverlap="1" wp14:anchorId="6E0B12E5" wp14:editId="39E0BE2C">
            <wp:simplePos x="0" y="0"/>
            <wp:positionH relativeFrom="margin">
              <wp:align>left</wp:align>
            </wp:positionH>
            <wp:positionV relativeFrom="paragraph">
              <wp:posOffset>183515</wp:posOffset>
            </wp:positionV>
            <wp:extent cx="1548000" cy="3276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eObje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32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3765" w:rsidRDefault="00BA3765" w:rsidP="00BA3765">
      <w:pPr>
        <w:rPr>
          <w:sz w:val="24"/>
          <w:szCs w:val="24"/>
        </w:rPr>
      </w:pPr>
    </w:p>
    <w:p w:rsidR="00C520FE" w:rsidRDefault="00B50E50" w:rsidP="0038304F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 wp14:anchorId="66059AA5" wp14:editId="000A93DF">
            <wp:simplePos x="0" y="0"/>
            <wp:positionH relativeFrom="margin">
              <wp:align>left</wp:align>
            </wp:positionH>
            <wp:positionV relativeFrom="paragraph">
              <wp:posOffset>469265</wp:posOffset>
            </wp:positionV>
            <wp:extent cx="3963600" cy="320400"/>
            <wp:effectExtent l="0" t="0" r="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deContexteChiffres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600" cy="3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469">
        <w:rPr>
          <w:sz w:val="24"/>
          <w:szCs w:val="24"/>
        </w:rPr>
        <w:t>Il s’agi</w:t>
      </w:r>
      <w:r w:rsidR="00BA3765" w:rsidRPr="00C520FE">
        <w:rPr>
          <w:sz w:val="24"/>
          <w:szCs w:val="24"/>
        </w:rPr>
        <w:t xml:space="preserve">t de </w:t>
      </w:r>
      <w:r w:rsidR="009445CE">
        <w:rPr>
          <w:sz w:val="24"/>
          <w:szCs w:val="24"/>
        </w:rPr>
        <w:t xml:space="preserve">voter </w:t>
      </w:r>
      <w:r w:rsidR="00586EFE">
        <w:rPr>
          <w:sz w:val="24"/>
          <w:szCs w:val="24"/>
        </w:rPr>
        <w:t>une révision</w:t>
      </w:r>
      <w:r w:rsidR="009445CE">
        <w:rPr>
          <w:sz w:val="24"/>
          <w:szCs w:val="24"/>
        </w:rPr>
        <w:t xml:space="preserve"> du guide des aides aux investissements des communes et groupements de </w:t>
      </w:r>
      <w:r w:rsidR="00586EFE">
        <w:rPr>
          <w:sz w:val="24"/>
          <w:szCs w:val="24"/>
        </w:rPr>
        <w:t>communes.</w:t>
      </w:r>
      <w:r>
        <w:rPr>
          <w:sz w:val="24"/>
          <w:szCs w:val="24"/>
        </w:rPr>
        <w:br/>
      </w:r>
      <w:r w:rsidR="0038304F">
        <w:rPr>
          <w:sz w:val="24"/>
          <w:szCs w:val="24"/>
        </w:rPr>
        <w:br/>
      </w:r>
    </w:p>
    <w:p w:rsidR="009445CE" w:rsidRDefault="00634AAB" w:rsidP="009445C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 w:rsidR="009445CE">
        <w:rPr>
          <w:rFonts w:ascii="Arial" w:hAnsi="Arial" w:cs="Arial"/>
          <w:sz w:val="24"/>
          <w:szCs w:val="24"/>
        </w:rPr>
        <w:t xml:space="preserve"> dispositif </w:t>
      </w:r>
      <w:r w:rsidR="00302880">
        <w:rPr>
          <w:rFonts w:ascii="Arial" w:hAnsi="Arial" w:cs="Arial"/>
          <w:sz w:val="24"/>
          <w:szCs w:val="24"/>
        </w:rPr>
        <w:t xml:space="preserve">se veut </w:t>
      </w:r>
      <w:r w:rsidR="009445CE">
        <w:rPr>
          <w:rFonts w:ascii="Arial" w:hAnsi="Arial" w:cs="Arial"/>
          <w:sz w:val="24"/>
          <w:szCs w:val="24"/>
        </w:rPr>
        <w:t>souple</w:t>
      </w:r>
      <w:r w:rsidR="008F5F88">
        <w:rPr>
          <w:rFonts w:ascii="Arial" w:hAnsi="Arial" w:cs="Arial"/>
          <w:sz w:val="24"/>
          <w:szCs w:val="24"/>
        </w:rPr>
        <w:t>, équitable et évolutif</w:t>
      </w:r>
      <w:r w:rsidR="009445CE">
        <w:rPr>
          <w:rFonts w:ascii="Arial" w:hAnsi="Arial" w:cs="Arial"/>
          <w:sz w:val="24"/>
          <w:szCs w:val="24"/>
        </w:rPr>
        <w:t>.</w:t>
      </w:r>
    </w:p>
    <w:p w:rsidR="009445CE" w:rsidRPr="002C6FC7" w:rsidRDefault="009445CE" w:rsidP="002C6FC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Depuis sa création </w:t>
      </w:r>
      <w:r w:rsidR="002C6FC7">
        <w:rPr>
          <w:rFonts w:ascii="Arial" w:hAnsi="Arial" w:cs="Arial"/>
          <w:sz w:val="24"/>
          <w:szCs w:val="24"/>
        </w:rPr>
        <w:t xml:space="preserve">en 2012 </w:t>
      </w:r>
      <w:r>
        <w:rPr>
          <w:rFonts w:ascii="Arial" w:hAnsi="Arial" w:cs="Arial"/>
          <w:sz w:val="24"/>
          <w:szCs w:val="24"/>
        </w:rPr>
        <w:t xml:space="preserve">: </w:t>
      </w:r>
      <w:r w:rsidRPr="002C6FC7">
        <w:rPr>
          <w:rFonts w:ascii="Arial" w:hAnsi="Arial" w:cs="Arial"/>
          <w:sz w:val="24"/>
          <w:szCs w:val="24"/>
        </w:rPr>
        <w:t>1 </w:t>
      </w:r>
      <w:r w:rsidR="00155469" w:rsidRPr="002C6FC7">
        <w:rPr>
          <w:rFonts w:ascii="Arial" w:hAnsi="Arial" w:cs="Arial"/>
          <w:sz w:val="24"/>
          <w:szCs w:val="24"/>
        </w:rPr>
        <w:t>467</w:t>
      </w:r>
      <w:r w:rsidRPr="002C6FC7">
        <w:rPr>
          <w:rFonts w:ascii="Arial" w:hAnsi="Arial" w:cs="Arial"/>
          <w:sz w:val="24"/>
          <w:szCs w:val="24"/>
        </w:rPr>
        <w:t xml:space="preserve"> aides ont été </w:t>
      </w:r>
      <w:r w:rsidR="00302880" w:rsidRPr="002C6FC7">
        <w:rPr>
          <w:rFonts w:ascii="Arial" w:hAnsi="Arial" w:cs="Arial"/>
          <w:sz w:val="24"/>
          <w:szCs w:val="24"/>
        </w:rPr>
        <w:t xml:space="preserve">accordées </w:t>
      </w:r>
      <w:r w:rsidR="00634AAB" w:rsidRPr="002C6FC7">
        <w:rPr>
          <w:rFonts w:ascii="Arial" w:hAnsi="Arial" w:cs="Arial"/>
          <w:sz w:val="24"/>
          <w:szCs w:val="24"/>
        </w:rPr>
        <w:t>et p</w:t>
      </w:r>
      <w:r w:rsidR="00155469" w:rsidRPr="002C6FC7">
        <w:rPr>
          <w:rFonts w:ascii="Arial" w:hAnsi="Arial" w:cs="Arial"/>
          <w:sz w:val="24"/>
          <w:szCs w:val="24"/>
        </w:rPr>
        <w:t>rès de 132</w:t>
      </w:r>
      <w:r w:rsidRPr="002C6FC7">
        <w:rPr>
          <w:rFonts w:ascii="Arial" w:hAnsi="Arial" w:cs="Arial"/>
          <w:sz w:val="24"/>
          <w:szCs w:val="24"/>
        </w:rPr>
        <w:t xml:space="preserve"> millions d’euros de subventions distribuées. </w:t>
      </w:r>
    </w:p>
    <w:p w:rsidR="00253D1C" w:rsidRPr="00253D1C" w:rsidRDefault="00253D1C" w:rsidP="00253D1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71D8C6F4" wp14:editId="24556C1D">
            <wp:simplePos x="0" y="0"/>
            <wp:positionH relativeFrom="margin">
              <wp:align>left</wp:align>
            </wp:positionH>
            <wp:positionV relativeFrom="paragraph">
              <wp:posOffset>406400</wp:posOffset>
            </wp:positionV>
            <wp:extent cx="3690000" cy="320400"/>
            <wp:effectExtent l="0" t="0" r="0" b="381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ndeElementsCles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000" cy="3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F88">
        <w:rPr>
          <w:rFonts w:ascii="Arial" w:hAnsi="Arial" w:cs="Arial"/>
          <w:sz w:val="24"/>
          <w:szCs w:val="24"/>
        </w:rPr>
        <w:t>En 2019</w:t>
      </w:r>
      <w:r w:rsidR="007D233A">
        <w:rPr>
          <w:rFonts w:ascii="Arial" w:hAnsi="Arial" w:cs="Arial"/>
          <w:sz w:val="24"/>
          <w:szCs w:val="24"/>
        </w:rPr>
        <w:t xml:space="preserve">, le Département consacre </w:t>
      </w:r>
      <w:r w:rsidR="00DD2DFF">
        <w:rPr>
          <w:rFonts w:ascii="Arial" w:hAnsi="Arial" w:cs="Arial"/>
          <w:sz w:val="24"/>
          <w:szCs w:val="24"/>
        </w:rPr>
        <w:t>25</w:t>
      </w:r>
      <w:r w:rsidR="007D233A" w:rsidRPr="007D233A">
        <w:rPr>
          <w:rFonts w:ascii="Arial" w:hAnsi="Arial" w:cs="Arial"/>
          <w:sz w:val="24"/>
          <w:szCs w:val="24"/>
        </w:rPr>
        <w:t xml:space="preserve"> millions </w:t>
      </w:r>
      <w:r w:rsidR="00C621AA">
        <w:rPr>
          <w:rFonts w:ascii="Arial" w:hAnsi="Arial" w:cs="Arial"/>
          <w:sz w:val="24"/>
          <w:szCs w:val="24"/>
        </w:rPr>
        <w:t xml:space="preserve">d’euros </w:t>
      </w:r>
      <w:r w:rsidR="007D233A">
        <w:rPr>
          <w:rFonts w:ascii="Arial" w:hAnsi="Arial" w:cs="Arial"/>
          <w:sz w:val="24"/>
          <w:szCs w:val="24"/>
        </w:rPr>
        <w:t>à ce dispositif</w:t>
      </w:r>
      <w:r w:rsidR="00DD2DFF">
        <w:rPr>
          <w:rFonts w:ascii="Arial" w:hAnsi="Arial" w:cs="Arial"/>
          <w:sz w:val="24"/>
          <w:szCs w:val="24"/>
        </w:rPr>
        <w:t xml:space="preserve">. C’est le troisième poste de dépenses du budget d’investissement. </w:t>
      </w:r>
    </w:p>
    <w:p w:rsidR="00C520FE" w:rsidRDefault="00C520FE" w:rsidP="00C520FE">
      <w:pPr>
        <w:tabs>
          <w:tab w:val="left" w:pos="6255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586EFE" w:rsidRPr="00586EFE" w:rsidRDefault="00586EFE" w:rsidP="00586EFE">
      <w:pPr>
        <w:jc w:val="both"/>
        <w:rPr>
          <w:rFonts w:cs="Arial"/>
          <w:sz w:val="24"/>
          <w:szCs w:val="24"/>
        </w:rPr>
      </w:pPr>
      <w:r w:rsidRPr="00586EFE">
        <w:rPr>
          <w:rFonts w:cs="Arial"/>
          <w:sz w:val="24"/>
          <w:szCs w:val="24"/>
        </w:rPr>
        <w:t xml:space="preserve"> Ces révisions concernent :</w:t>
      </w:r>
    </w:p>
    <w:p w:rsidR="007D233A" w:rsidRDefault="00E577EB" w:rsidP="007D233A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s</w:t>
      </w:r>
      <w:r w:rsidR="00586EFE">
        <w:rPr>
          <w:rFonts w:ascii="Arial" w:hAnsi="Arial" w:cs="Arial"/>
          <w:b/>
          <w:sz w:val="24"/>
          <w:szCs w:val="24"/>
        </w:rPr>
        <w:t>uppression des pondérations négatives</w:t>
      </w:r>
    </w:p>
    <w:p w:rsidR="00586EFE" w:rsidRPr="00373120" w:rsidRDefault="00373120" w:rsidP="00586EFE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Avant</w:t>
      </w:r>
      <w:r w:rsidR="00586EFE" w:rsidRPr="0037312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le taux de participation</w:t>
      </w:r>
      <w:r w:rsidRPr="00373120">
        <w:rPr>
          <w:rFonts w:ascii="Arial" w:hAnsi="Arial" w:cs="Arial"/>
          <w:sz w:val="24"/>
          <w:szCs w:val="24"/>
        </w:rPr>
        <w:t xml:space="preserve"> départemental</w:t>
      </w:r>
      <w:r>
        <w:rPr>
          <w:rFonts w:ascii="Arial" w:hAnsi="Arial" w:cs="Arial"/>
          <w:sz w:val="24"/>
          <w:szCs w:val="24"/>
        </w:rPr>
        <w:t>e</w:t>
      </w:r>
      <w:r w:rsidRPr="003731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 différentes aides </w:t>
      </w:r>
      <w:r w:rsidRPr="00373120">
        <w:rPr>
          <w:rFonts w:ascii="Arial" w:hAnsi="Arial" w:cs="Arial"/>
          <w:sz w:val="24"/>
          <w:szCs w:val="24"/>
        </w:rPr>
        <w:t xml:space="preserve">était pondéré selon le potentiel financier des communes allant de </w:t>
      </w:r>
      <w:r>
        <w:rPr>
          <w:rFonts w:ascii="Arial" w:hAnsi="Arial" w:cs="Arial"/>
          <w:sz w:val="24"/>
          <w:szCs w:val="24"/>
        </w:rPr>
        <w:t>-</w:t>
      </w:r>
      <w:r w:rsidRPr="00373120">
        <w:rPr>
          <w:rFonts w:ascii="Arial" w:hAnsi="Arial" w:cs="Arial"/>
          <w:sz w:val="24"/>
          <w:szCs w:val="24"/>
        </w:rPr>
        <w:t xml:space="preserve"> 5 % </w:t>
      </w:r>
      <w:r>
        <w:rPr>
          <w:rFonts w:ascii="Arial" w:hAnsi="Arial" w:cs="Arial"/>
          <w:sz w:val="24"/>
          <w:szCs w:val="24"/>
        </w:rPr>
        <w:t xml:space="preserve">à + 5 %. Aujourd’hui, </w:t>
      </w:r>
      <w:r w:rsidR="00634AAB">
        <w:rPr>
          <w:rFonts w:ascii="Arial" w:hAnsi="Arial" w:cs="Arial"/>
          <w:sz w:val="24"/>
          <w:szCs w:val="24"/>
        </w:rPr>
        <w:t>seules</w:t>
      </w:r>
      <w:r>
        <w:rPr>
          <w:rFonts w:ascii="Arial" w:hAnsi="Arial" w:cs="Arial"/>
          <w:sz w:val="24"/>
          <w:szCs w:val="24"/>
        </w:rPr>
        <w:t xml:space="preserve"> les pondérations positives sont retenues.</w:t>
      </w:r>
    </w:p>
    <w:p w:rsidR="00586EFE" w:rsidRDefault="00586EFE" w:rsidP="00586EF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 cofinancement des Contrats d’A</w:t>
      </w:r>
      <w:r w:rsidR="00982ADE">
        <w:rPr>
          <w:rFonts w:ascii="Arial" w:hAnsi="Arial" w:cs="Arial"/>
          <w:b/>
          <w:sz w:val="24"/>
          <w:szCs w:val="24"/>
        </w:rPr>
        <w:t>ménagement R</w:t>
      </w:r>
      <w:r w:rsidR="00373120">
        <w:rPr>
          <w:rFonts w:ascii="Arial" w:hAnsi="Arial" w:cs="Arial"/>
          <w:b/>
          <w:sz w:val="24"/>
          <w:szCs w:val="24"/>
        </w:rPr>
        <w:t>égional (CAR)</w:t>
      </w:r>
    </w:p>
    <w:p w:rsidR="00634AAB" w:rsidRPr="00634AAB" w:rsidRDefault="00373120" w:rsidP="00373120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avantager les communes et groupements de communes, il est décidé</w:t>
      </w:r>
      <w:r w:rsidR="00634AAB">
        <w:rPr>
          <w:rFonts w:ascii="Arial" w:hAnsi="Arial" w:cs="Arial"/>
          <w:sz w:val="24"/>
          <w:szCs w:val="24"/>
        </w:rPr>
        <w:t> :</w:t>
      </w:r>
    </w:p>
    <w:p w:rsidR="00373120" w:rsidRPr="00634AAB" w:rsidRDefault="00634AAB" w:rsidP="00634AAB">
      <w:pPr>
        <w:pStyle w:val="Paragraphedeliste"/>
        <w:numPr>
          <w:ilvl w:val="2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ne plus se baser sur les dépenses </w:t>
      </w:r>
      <w:proofErr w:type="spellStart"/>
      <w:r>
        <w:rPr>
          <w:rFonts w:ascii="Arial" w:hAnsi="Arial" w:cs="Arial"/>
          <w:sz w:val="24"/>
          <w:szCs w:val="24"/>
        </w:rPr>
        <w:t>su</w:t>
      </w:r>
      <w:r w:rsidR="00982ADE">
        <w:rPr>
          <w:rFonts w:ascii="Arial" w:hAnsi="Arial" w:cs="Arial"/>
          <w:sz w:val="24"/>
          <w:szCs w:val="24"/>
        </w:rPr>
        <w:t>bventionnables</w:t>
      </w:r>
      <w:proofErr w:type="spellEnd"/>
      <w:r w:rsidR="00982ADE">
        <w:rPr>
          <w:rFonts w:ascii="Arial" w:hAnsi="Arial" w:cs="Arial"/>
          <w:sz w:val="24"/>
          <w:szCs w:val="24"/>
        </w:rPr>
        <w:t xml:space="preserve"> retenues par la R</w:t>
      </w:r>
      <w:r>
        <w:rPr>
          <w:rFonts w:ascii="Arial" w:hAnsi="Arial" w:cs="Arial"/>
          <w:sz w:val="24"/>
          <w:szCs w:val="24"/>
        </w:rPr>
        <w:t>égion IDF.</w:t>
      </w:r>
    </w:p>
    <w:p w:rsidR="00634AAB" w:rsidRDefault="00634AAB" w:rsidP="00634AAB">
      <w:pPr>
        <w:pStyle w:val="Paragraphedeliste"/>
        <w:numPr>
          <w:ilvl w:val="2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calculer nos aides sur la base du coût réel d</w:t>
      </w:r>
      <w:r w:rsidR="00982ADE">
        <w:rPr>
          <w:rFonts w:ascii="Arial" w:hAnsi="Arial" w:cs="Arial"/>
          <w:sz w:val="24"/>
          <w:szCs w:val="24"/>
        </w:rPr>
        <w:t>es opérations avec pour nouveau</w:t>
      </w:r>
      <w:r>
        <w:rPr>
          <w:rFonts w:ascii="Arial" w:hAnsi="Arial" w:cs="Arial"/>
          <w:sz w:val="24"/>
          <w:szCs w:val="24"/>
        </w:rPr>
        <w:t xml:space="preserve"> plafond : 2 millions d’€ pour les communes et 4 millions d’€ pour les EPCI. Les taux départementaux quant à eux restent identiques (voir guide).</w:t>
      </w:r>
    </w:p>
    <w:p w:rsidR="00586EFE" w:rsidRDefault="00586EFE" w:rsidP="00586EF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création d’un </w:t>
      </w:r>
      <w:r w:rsidR="00634AAB">
        <w:rPr>
          <w:rFonts w:ascii="Arial" w:hAnsi="Arial" w:cs="Arial"/>
          <w:b/>
          <w:sz w:val="24"/>
          <w:szCs w:val="24"/>
        </w:rPr>
        <w:t>dispositif</w:t>
      </w:r>
      <w:r>
        <w:rPr>
          <w:rFonts w:ascii="Arial" w:hAnsi="Arial" w:cs="Arial"/>
          <w:b/>
          <w:sz w:val="24"/>
          <w:szCs w:val="24"/>
        </w:rPr>
        <w:t xml:space="preserve"> d’aide dans le cadre du futur plan vélo</w:t>
      </w:r>
    </w:p>
    <w:p w:rsidR="00634AAB" w:rsidRDefault="00634AAB" w:rsidP="00634AAB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lien avec les </w:t>
      </w:r>
      <w:r w:rsidR="00E577EB">
        <w:rPr>
          <w:rFonts w:ascii="Arial" w:hAnsi="Arial" w:cs="Arial"/>
          <w:sz w:val="24"/>
          <w:szCs w:val="24"/>
        </w:rPr>
        <w:t>orientations</w:t>
      </w:r>
      <w:r>
        <w:rPr>
          <w:rFonts w:ascii="Arial" w:hAnsi="Arial" w:cs="Arial"/>
          <w:sz w:val="24"/>
          <w:szCs w:val="24"/>
        </w:rPr>
        <w:t xml:space="preserve"> de la Région IDF, le</w:t>
      </w:r>
      <w:r w:rsidR="00E577EB">
        <w:rPr>
          <w:rFonts w:ascii="Arial" w:hAnsi="Arial" w:cs="Arial"/>
          <w:sz w:val="24"/>
          <w:szCs w:val="24"/>
        </w:rPr>
        <w:t xml:space="preserve"> Département souhaite renforcer les déplacements à vélo du quotidien.</w:t>
      </w:r>
    </w:p>
    <w:p w:rsidR="00E577EB" w:rsidRDefault="00E577EB" w:rsidP="00634AAB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Actions = Maillage d’itinéraires, services renforcés, promotion de l’usage du vélo (dont agents).</w:t>
      </w:r>
    </w:p>
    <w:p w:rsidR="00E577EB" w:rsidRPr="00E577EB" w:rsidRDefault="00E577EB" w:rsidP="00E577EB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soutien départemental à hauteur de 20% des investissements sera proposé.</w:t>
      </w:r>
    </w:p>
    <w:p w:rsidR="00586EFE" w:rsidRDefault="00586EFE" w:rsidP="00586EF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L’assainiss</w:t>
      </w:r>
      <w:r w:rsidR="00982ADE">
        <w:rPr>
          <w:rFonts w:ascii="Arial" w:hAnsi="Arial" w:cs="Arial"/>
          <w:b/>
          <w:sz w:val="24"/>
          <w:szCs w:val="24"/>
        </w:rPr>
        <w:t>ement collectif en milieu rural</w:t>
      </w:r>
    </w:p>
    <w:p w:rsidR="00E577EB" w:rsidRPr="00E577EB" w:rsidRDefault="00E577EB" w:rsidP="00E577EB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77EB">
        <w:rPr>
          <w:rFonts w:ascii="Arial" w:hAnsi="Arial" w:cs="Arial"/>
          <w:sz w:val="24"/>
          <w:szCs w:val="24"/>
        </w:rPr>
        <w:t>La compétence « eau &amp; assainissement » doit être transférée aux EPCI au plus tard en 2026</w:t>
      </w:r>
      <w:r>
        <w:rPr>
          <w:rFonts w:ascii="Arial" w:hAnsi="Arial" w:cs="Arial"/>
          <w:sz w:val="24"/>
          <w:szCs w:val="24"/>
        </w:rPr>
        <w:t>.</w:t>
      </w:r>
    </w:p>
    <w:p w:rsidR="00E577EB" w:rsidRPr="00F740E5" w:rsidRDefault="00F740E5" w:rsidP="00E577EB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0E5">
        <w:rPr>
          <w:rFonts w:ascii="Arial" w:hAnsi="Arial" w:cs="Arial"/>
          <w:sz w:val="24"/>
          <w:szCs w:val="24"/>
        </w:rPr>
        <w:t xml:space="preserve">3 EPCI du secteur rural vont adhérer au SIARP. </w:t>
      </w:r>
      <w:r>
        <w:rPr>
          <w:rFonts w:ascii="Arial" w:hAnsi="Arial" w:cs="Arial"/>
          <w:sz w:val="24"/>
          <w:szCs w:val="24"/>
        </w:rPr>
        <w:t>Ces établissements sont</w:t>
      </w:r>
      <w:r w:rsidRPr="00F740E5">
        <w:rPr>
          <w:rFonts w:ascii="Arial" w:hAnsi="Arial" w:cs="Arial"/>
          <w:sz w:val="24"/>
          <w:szCs w:val="24"/>
        </w:rPr>
        <w:t xml:space="preserve"> éligibles au guide des aides mais pas le SIARP.</w:t>
      </w:r>
    </w:p>
    <w:p w:rsidR="00F740E5" w:rsidRPr="00F740E5" w:rsidRDefault="00F740E5" w:rsidP="00E577EB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0E5">
        <w:rPr>
          <w:rFonts w:ascii="Arial" w:hAnsi="Arial" w:cs="Arial"/>
          <w:sz w:val="24"/>
          <w:szCs w:val="24"/>
        </w:rPr>
        <w:t>Face à l’importance des futurs travaux envisagés, le Département</w:t>
      </w:r>
      <w:r>
        <w:rPr>
          <w:rFonts w:ascii="Arial" w:hAnsi="Arial" w:cs="Arial"/>
          <w:sz w:val="24"/>
          <w:szCs w:val="24"/>
        </w:rPr>
        <w:t xml:space="preserve"> : </w:t>
      </w:r>
      <w:r w:rsidRPr="00F740E5">
        <w:rPr>
          <w:rFonts w:ascii="Arial" w:hAnsi="Arial" w:cs="Arial"/>
          <w:sz w:val="24"/>
          <w:szCs w:val="24"/>
        </w:rPr>
        <w:t xml:space="preserve">prolonge </w:t>
      </w:r>
      <w:r>
        <w:rPr>
          <w:rFonts w:ascii="Arial" w:hAnsi="Arial" w:cs="Arial"/>
          <w:sz w:val="24"/>
          <w:szCs w:val="24"/>
        </w:rPr>
        <w:t xml:space="preserve">de 10 ans au-delà du transfert l’éligibilité des collectivités concernées ; adapte favorablement son mode de calcul de l’aide ; intègre les communes rurales qui ont déjà transféré cette compétence. </w:t>
      </w:r>
    </w:p>
    <w:p w:rsidR="00586EFE" w:rsidRDefault="00F740E5" w:rsidP="00586EF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</w:t>
      </w:r>
      <w:r w:rsidR="00586EFE">
        <w:rPr>
          <w:rFonts w:ascii="Arial" w:hAnsi="Arial" w:cs="Arial"/>
          <w:b/>
          <w:sz w:val="24"/>
          <w:szCs w:val="24"/>
        </w:rPr>
        <w:t xml:space="preserve"> dispositif « réhabilitation des décharges bruts et résorption des dépôts sauvages »</w:t>
      </w:r>
    </w:p>
    <w:p w:rsidR="00B50E50" w:rsidRDefault="00F740E5" w:rsidP="00B50E50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dépenses éligibles sont : évacuation des déchets et aménagements préventifs. </w:t>
      </w:r>
    </w:p>
    <w:p w:rsidR="00C520FE" w:rsidRPr="00F740E5" w:rsidRDefault="00F740E5" w:rsidP="00F740E5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29D368C0" wp14:editId="2E66492B">
            <wp:simplePos x="0" y="0"/>
            <wp:positionH relativeFrom="margin">
              <wp:align>left</wp:align>
            </wp:positionH>
            <wp:positionV relativeFrom="paragraph">
              <wp:posOffset>411480</wp:posOffset>
            </wp:positionV>
            <wp:extent cx="3214370" cy="323274"/>
            <wp:effectExtent l="0" t="0" r="5080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ndeAccrochesFinales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370" cy="323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Le taux d’aide s’élève à 20 % et est maintenant bonifié de 40% si le dépôt se trouve à moins de 100 m d’un chemin labellisé. Le plafond est fixé à 100 000 €.</w:t>
      </w:r>
    </w:p>
    <w:p w:rsidR="00C520FE" w:rsidRDefault="00C520FE" w:rsidP="00C520FE">
      <w:pPr>
        <w:tabs>
          <w:tab w:val="left" w:pos="6255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BA2464" w:rsidRPr="00C520FE" w:rsidRDefault="00253D1C" w:rsidP="00C520FE">
      <w:pPr>
        <w:tabs>
          <w:tab w:val="left" w:pos="6255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Premier partenaire </w:t>
      </w:r>
      <w:r w:rsidR="00B50E50">
        <w:rPr>
          <w:rFonts w:cs="Arial"/>
          <w:sz w:val="24"/>
          <w:szCs w:val="24"/>
        </w:rPr>
        <w:t xml:space="preserve">des communes et des groupements de communes, le Conseil départemental </w:t>
      </w:r>
      <w:r w:rsidR="0038304F">
        <w:rPr>
          <w:rFonts w:cs="Arial"/>
          <w:sz w:val="24"/>
          <w:szCs w:val="24"/>
        </w:rPr>
        <w:t xml:space="preserve">fait évoluer son guide des aides </w:t>
      </w:r>
      <w:r w:rsidR="00B50E50">
        <w:rPr>
          <w:rFonts w:cs="Arial"/>
          <w:sz w:val="24"/>
          <w:szCs w:val="24"/>
        </w:rPr>
        <w:t>au</w:t>
      </w:r>
      <w:r w:rsidR="00B50E50" w:rsidRPr="00B50E50">
        <w:rPr>
          <w:rFonts w:cs="Arial"/>
          <w:sz w:val="24"/>
          <w:szCs w:val="24"/>
        </w:rPr>
        <w:t xml:space="preserve"> plus près </w:t>
      </w:r>
      <w:r w:rsidR="0038304F">
        <w:rPr>
          <w:rFonts w:cs="Arial"/>
          <w:sz w:val="24"/>
          <w:szCs w:val="24"/>
        </w:rPr>
        <w:t xml:space="preserve">des besoins des élus, des </w:t>
      </w:r>
      <w:proofErr w:type="spellStart"/>
      <w:r w:rsidR="0038304F">
        <w:rPr>
          <w:rFonts w:cs="Arial"/>
          <w:sz w:val="24"/>
          <w:szCs w:val="24"/>
        </w:rPr>
        <w:t>valdoisiens</w:t>
      </w:r>
      <w:proofErr w:type="spellEnd"/>
      <w:r w:rsidR="0038304F">
        <w:rPr>
          <w:rFonts w:cs="Arial"/>
          <w:sz w:val="24"/>
          <w:szCs w:val="24"/>
        </w:rPr>
        <w:t xml:space="preserve"> et de nos territoires.</w:t>
      </w:r>
    </w:p>
    <w:sectPr w:rsidR="00BA2464" w:rsidRPr="00C520FE" w:rsidSect="00C520FE">
      <w:headerReference w:type="even" r:id="rId12"/>
      <w:headerReference w:type="default" r:id="rId13"/>
      <w:headerReference w:type="first" r:id="rId14"/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48D" w:rsidRDefault="003C548D" w:rsidP="00C520FE">
      <w:pPr>
        <w:spacing w:after="0" w:line="240" w:lineRule="auto"/>
      </w:pPr>
      <w:r>
        <w:separator/>
      </w:r>
    </w:p>
  </w:endnote>
  <w:endnote w:type="continuationSeparator" w:id="0">
    <w:p w:rsidR="003C548D" w:rsidRDefault="003C548D" w:rsidP="00C5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48D" w:rsidRDefault="003C548D" w:rsidP="00C520FE">
      <w:pPr>
        <w:spacing w:after="0" w:line="240" w:lineRule="auto"/>
      </w:pPr>
      <w:r>
        <w:separator/>
      </w:r>
    </w:p>
  </w:footnote>
  <w:footnote w:type="continuationSeparator" w:id="0">
    <w:p w:rsidR="003C548D" w:rsidRDefault="003C548D" w:rsidP="00C52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FE" w:rsidRDefault="003C548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077" o:spid="_x0000_s2053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PageViergeO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FE" w:rsidRDefault="003C548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078" o:spid="_x0000_s2054" type="#_x0000_t75" style="position:absolute;margin-left:.25pt;margin-top:-29.35pt;width:472.25pt;height:807.35pt;z-index:-251656192;mso-position-horizontal-relative:margin;mso-position-vertical-relative:margin" o:allowincell="f">
          <v:imagedata r:id="rId1" o:title="PageViergeO" cropright="11310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FE" w:rsidRDefault="003C548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076" o:spid="_x0000_s2052" type="#_x0000_t75" style="position:absolute;margin-left:0;margin-top:0;width:570.75pt;height:807.35pt;z-index:-251658240;mso-position-horizontal:center;mso-position-horizontal-relative:margin;mso-position-vertical:center;mso-position-vertical-relative:margin" o:allowincell="f">
          <v:imagedata r:id="rId1" o:title="PageViergeO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145F4"/>
    <w:multiLevelType w:val="hybridMultilevel"/>
    <w:tmpl w:val="D1ECDDA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DF7C62"/>
    <w:multiLevelType w:val="hybridMultilevel"/>
    <w:tmpl w:val="24EE3ED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A74460"/>
    <w:multiLevelType w:val="hybridMultilevel"/>
    <w:tmpl w:val="436CF132"/>
    <w:lvl w:ilvl="0" w:tplc="CF8CB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80FCD"/>
    <w:multiLevelType w:val="hybridMultilevel"/>
    <w:tmpl w:val="C5AE1CD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FE"/>
    <w:rsid w:val="000578E6"/>
    <w:rsid w:val="00090925"/>
    <w:rsid w:val="00106BBF"/>
    <w:rsid w:val="00155469"/>
    <w:rsid w:val="001923A4"/>
    <w:rsid w:val="00253D1C"/>
    <w:rsid w:val="002C6FC7"/>
    <w:rsid w:val="00302880"/>
    <w:rsid w:val="00373120"/>
    <w:rsid w:val="0038304F"/>
    <w:rsid w:val="003B4A96"/>
    <w:rsid w:val="003C548D"/>
    <w:rsid w:val="00586EFE"/>
    <w:rsid w:val="005B3A2A"/>
    <w:rsid w:val="00634AAB"/>
    <w:rsid w:val="00644901"/>
    <w:rsid w:val="007D233A"/>
    <w:rsid w:val="00882CAC"/>
    <w:rsid w:val="008F5F88"/>
    <w:rsid w:val="009155D0"/>
    <w:rsid w:val="009445CE"/>
    <w:rsid w:val="00982ADE"/>
    <w:rsid w:val="00A205B3"/>
    <w:rsid w:val="00A31EF1"/>
    <w:rsid w:val="00AC3770"/>
    <w:rsid w:val="00B01B56"/>
    <w:rsid w:val="00B4166D"/>
    <w:rsid w:val="00B50E50"/>
    <w:rsid w:val="00B83BE7"/>
    <w:rsid w:val="00BA2464"/>
    <w:rsid w:val="00BA3765"/>
    <w:rsid w:val="00C520FE"/>
    <w:rsid w:val="00C621AA"/>
    <w:rsid w:val="00CA7195"/>
    <w:rsid w:val="00D44785"/>
    <w:rsid w:val="00DD2DFF"/>
    <w:rsid w:val="00E50AED"/>
    <w:rsid w:val="00E577EB"/>
    <w:rsid w:val="00F13B5E"/>
    <w:rsid w:val="00F25BF1"/>
    <w:rsid w:val="00F7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C559DC26-FBBC-46C4-9E1F-A39C4E57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20FE"/>
  </w:style>
  <w:style w:type="paragraph" w:styleId="Pieddepage">
    <w:name w:val="footer"/>
    <w:basedOn w:val="Normal"/>
    <w:link w:val="PieddepageCar"/>
    <w:uiPriority w:val="99"/>
    <w:unhideWhenUsed/>
    <w:rsid w:val="00C5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20FE"/>
  </w:style>
  <w:style w:type="paragraph" w:styleId="Paragraphedeliste">
    <w:name w:val="List Paragraph"/>
    <w:basedOn w:val="Normal"/>
    <w:uiPriority w:val="34"/>
    <w:qFormat/>
    <w:rsid w:val="00C520FE"/>
    <w:pPr>
      <w:ind w:left="720"/>
      <w:contextualSpacing/>
    </w:pPr>
    <w:rPr>
      <w:rFonts w:asciiTheme="minorHAnsi" w:hAnsiTheme="minorHAnsi"/>
    </w:rPr>
  </w:style>
  <w:style w:type="character" w:styleId="Lienhypertexte">
    <w:name w:val="Hyperlink"/>
    <w:basedOn w:val="Policepardfaut"/>
    <w:uiPriority w:val="99"/>
    <w:unhideWhenUsed/>
    <w:rsid w:val="00B50E50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06BB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06BB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06BB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2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2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9A0A2-96E8-498C-B4F8-44E54071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CGVO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ETORE YOHANN</dc:creator>
  <cp:keywords/>
  <dc:description/>
  <cp:lastModifiedBy>ETORE YOHANN</cp:lastModifiedBy>
  <cp:revision>15</cp:revision>
  <cp:lastPrinted>2019-03-28T16:45:00Z</cp:lastPrinted>
  <dcterms:created xsi:type="dcterms:W3CDTF">2018-02-22T15:49:00Z</dcterms:created>
  <dcterms:modified xsi:type="dcterms:W3CDTF">2021-03-24T14:48:00Z</dcterms:modified>
</cp:coreProperties>
</file>